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A4" w:rsidRPr="00CF3B11" w:rsidRDefault="00AE04A4" w:rsidP="00AE04A4">
      <w:pPr>
        <w:spacing w:after="0"/>
        <w:rPr>
          <w:rFonts w:ascii="Arial" w:hAnsi="Arial" w:cs="Arial"/>
          <w:b/>
          <w:sz w:val="20"/>
        </w:rPr>
      </w:pPr>
      <w:bookmarkStart w:id="0" w:name="_GoBack"/>
      <w:bookmarkEnd w:id="0"/>
      <w:r w:rsidRPr="00CF3B11">
        <w:rPr>
          <w:rFonts w:ascii="Arial" w:hAnsi="Arial" w:cs="Arial"/>
          <w:b/>
          <w:sz w:val="20"/>
        </w:rPr>
        <w:t>DEVELOPMENT ACADEMY OF THE PHILIPPINES</w:t>
      </w:r>
    </w:p>
    <w:p w:rsidR="00AE04A4" w:rsidRPr="00CF3B11" w:rsidRDefault="00AE04A4" w:rsidP="00AE04A4">
      <w:pPr>
        <w:spacing w:after="0"/>
        <w:rPr>
          <w:rFonts w:ascii="Arial" w:hAnsi="Arial" w:cs="Arial"/>
          <w:sz w:val="20"/>
        </w:rPr>
      </w:pPr>
      <w:r w:rsidRPr="00CF3B11">
        <w:rPr>
          <w:rFonts w:ascii="Arial" w:hAnsi="Arial" w:cs="Arial"/>
          <w:sz w:val="20"/>
        </w:rPr>
        <w:t xml:space="preserve">DAP Building, San Miguel Avenue, </w:t>
      </w:r>
      <w:proofErr w:type="spellStart"/>
      <w:r w:rsidRPr="00CF3B11">
        <w:rPr>
          <w:rFonts w:ascii="Arial" w:hAnsi="Arial" w:cs="Arial"/>
          <w:sz w:val="20"/>
        </w:rPr>
        <w:t>Ortigas</w:t>
      </w:r>
      <w:proofErr w:type="spellEnd"/>
      <w:r w:rsidRPr="00CF3B11">
        <w:rPr>
          <w:rFonts w:ascii="Arial" w:hAnsi="Arial" w:cs="Arial"/>
          <w:sz w:val="20"/>
        </w:rPr>
        <w:t xml:space="preserve"> Center, Pasig City</w:t>
      </w:r>
    </w:p>
    <w:p w:rsidR="00AE04A4" w:rsidRPr="00CF3B11" w:rsidRDefault="00AE04A4" w:rsidP="00AE04A4">
      <w:pPr>
        <w:spacing w:after="0"/>
        <w:rPr>
          <w:rFonts w:ascii="Arial" w:hAnsi="Arial" w:cs="Arial"/>
          <w:sz w:val="20"/>
        </w:rPr>
      </w:pPr>
      <w:r w:rsidRPr="00CF3B11">
        <w:rPr>
          <w:rFonts w:ascii="Arial" w:hAnsi="Arial" w:cs="Arial"/>
          <w:sz w:val="20"/>
        </w:rPr>
        <w:t>Agency Action Plan and Status of Implementation</w:t>
      </w:r>
    </w:p>
    <w:p w:rsidR="00AE04A4" w:rsidRPr="00CF3B11" w:rsidRDefault="00EB7EBC" w:rsidP="00AE04A4">
      <w:pPr>
        <w:spacing w:after="0"/>
        <w:rPr>
          <w:rFonts w:ascii="Arial" w:hAnsi="Arial" w:cs="Arial"/>
          <w:sz w:val="20"/>
        </w:rPr>
      </w:pPr>
      <w:r>
        <w:rPr>
          <w:rFonts w:ascii="Arial" w:hAnsi="Arial" w:cs="Arial"/>
          <w:sz w:val="20"/>
        </w:rPr>
        <w:t xml:space="preserve">2018 </w:t>
      </w:r>
      <w:r w:rsidR="00AE04A4" w:rsidRPr="00CF3B11">
        <w:rPr>
          <w:rFonts w:ascii="Arial" w:hAnsi="Arial" w:cs="Arial"/>
          <w:sz w:val="20"/>
        </w:rPr>
        <w:t>Audit Observations and Recommendations</w:t>
      </w:r>
    </w:p>
    <w:p w:rsidR="00141ADB" w:rsidRPr="00CF3B11" w:rsidRDefault="00AE04A4" w:rsidP="00AE04A4">
      <w:pPr>
        <w:spacing w:after="0"/>
        <w:rPr>
          <w:rFonts w:ascii="Arial" w:hAnsi="Arial" w:cs="Arial"/>
          <w:sz w:val="20"/>
        </w:rPr>
      </w:pPr>
      <w:r w:rsidRPr="00CF3B11">
        <w:rPr>
          <w:rFonts w:ascii="Arial" w:hAnsi="Arial" w:cs="Arial"/>
          <w:sz w:val="20"/>
        </w:rPr>
        <w:t>As of 31 December 2019</w:t>
      </w:r>
    </w:p>
    <w:p w:rsidR="00E470AA" w:rsidRPr="00193168" w:rsidRDefault="00E470AA" w:rsidP="00AE04A4">
      <w:pPr>
        <w:spacing w:after="0"/>
        <w:rPr>
          <w:rFonts w:ascii="Arial" w:hAnsi="Arial" w:cs="Arial"/>
        </w:rPr>
      </w:pPr>
    </w:p>
    <w:tbl>
      <w:tblPr>
        <w:tblStyle w:val="TableGrid"/>
        <w:tblW w:w="17302" w:type="dxa"/>
        <w:tblLayout w:type="fixed"/>
        <w:tblCellMar>
          <w:top w:w="72" w:type="dxa"/>
          <w:left w:w="72" w:type="dxa"/>
          <w:bottom w:w="72" w:type="dxa"/>
          <w:right w:w="72" w:type="dxa"/>
        </w:tblCellMar>
        <w:tblLook w:val="04A0" w:firstRow="1" w:lastRow="0" w:firstColumn="1" w:lastColumn="0" w:noHBand="0" w:noVBand="1"/>
      </w:tblPr>
      <w:tblGrid>
        <w:gridCol w:w="648"/>
        <w:gridCol w:w="3294"/>
        <w:gridCol w:w="3060"/>
        <w:gridCol w:w="1350"/>
        <w:gridCol w:w="1530"/>
        <w:gridCol w:w="990"/>
        <w:gridCol w:w="1144"/>
        <w:gridCol w:w="1646"/>
        <w:gridCol w:w="1260"/>
        <w:gridCol w:w="2380"/>
      </w:tblGrid>
      <w:tr w:rsidR="00494AFA" w:rsidRPr="00E22465" w:rsidTr="00860B97">
        <w:tc>
          <w:tcPr>
            <w:tcW w:w="648" w:type="dxa"/>
            <w:vMerge w:val="restart"/>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Ref.</w:t>
            </w:r>
          </w:p>
        </w:tc>
        <w:tc>
          <w:tcPr>
            <w:tcW w:w="3294" w:type="dxa"/>
            <w:vMerge w:val="restart"/>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Audit Observations</w:t>
            </w:r>
          </w:p>
        </w:tc>
        <w:tc>
          <w:tcPr>
            <w:tcW w:w="3060" w:type="dxa"/>
            <w:vMerge w:val="restart"/>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Audit Recommendations</w:t>
            </w:r>
          </w:p>
        </w:tc>
        <w:tc>
          <w:tcPr>
            <w:tcW w:w="5014" w:type="dxa"/>
            <w:gridSpan w:val="4"/>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AGENCY ACTION PLAN</w:t>
            </w:r>
          </w:p>
        </w:tc>
        <w:tc>
          <w:tcPr>
            <w:tcW w:w="1646" w:type="dxa"/>
            <w:vMerge w:val="restart"/>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Status of Implementation</w:t>
            </w:r>
          </w:p>
        </w:tc>
        <w:tc>
          <w:tcPr>
            <w:tcW w:w="1260" w:type="dxa"/>
            <w:vMerge w:val="restart"/>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 xml:space="preserve">Reason for </w:t>
            </w:r>
            <w:r w:rsidR="00135808" w:rsidRPr="00E22465">
              <w:rPr>
                <w:rFonts w:ascii="Arial" w:hAnsi="Arial" w:cs="Arial"/>
                <w:b/>
                <w:sz w:val="20"/>
                <w:szCs w:val="20"/>
              </w:rPr>
              <w:t>Partial/ Delay/ Non-implement.,</w:t>
            </w:r>
            <w:r w:rsidRPr="00E22465">
              <w:rPr>
                <w:rFonts w:ascii="Arial" w:hAnsi="Arial" w:cs="Arial"/>
                <w:b/>
                <w:sz w:val="20"/>
                <w:szCs w:val="20"/>
              </w:rPr>
              <w:t>if applicable</w:t>
            </w:r>
          </w:p>
        </w:tc>
        <w:tc>
          <w:tcPr>
            <w:tcW w:w="2380" w:type="dxa"/>
            <w:vMerge w:val="restart"/>
            <w:vAlign w:val="center"/>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Action Taken/ Action to be Taken</w:t>
            </w:r>
          </w:p>
        </w:tc>
      </w:tr>
      <w:tr w:rsidR="00494AFA" w:rsidRPr="00E22465" w:rsidTr="00860B97">
        <w:tc>
          <w:tcPr>
            <w:tcW w:w="648" w:type="dxa"/>
            <w:vMerge/>
          </w:tcPr>
          <w:p w:rsidR="00494AFA" w:rsidRPr="00E22465" w:rsidRDefault="00494AFA" w:rsidP="00AE04A4">
            <w:pPr>
              <w:rPr>
                <w:rFonts w:ascii="Arial" w:hAnsi="Arial" w:cs="Arial"/>
                <w:sz w:val="20"/>
                <w:szCs w:val="20"/>
              </w:rPr>
            </w:pPr>
          </w:p>
        </w:tc>
        <w:tc>
          <w:tcPr>
            <w:tcW w:w="3294" w:type="dxa"/>
            <w:vMerge/>
          </w:tcPr>
          <w:p w:rsidR="00494AFA" w:rsidRPr="00E22465" w:rsidRDefault="00494AFA" w:rsidP="00AE04A4">
            <w:pPr>
              <w:rPr>
                <w:rFonts w:ascii="Arial" w:hAnsi="Arial" w:cs="Arial"/>
                <w:sz w:val="20"/>
                <w:szCs w:val="20"/>
              </w:rPr>
            </w:pPr>
          </w:p>
        </w:tc>
        <w:tc>
          <w:tcPr>
            <w:tcW w:w="3060" w:type="dxa"/>
            <w:vMerge/>
          </w:tcPr>
          <w:p w:rsidR="00494AFA" w:rsidRPr="00E22465" w:rsidRDefault="00494AFA" w:rsidP="00AE04A4">
            <w:pPr>
              <w:rPr>
                <w:rFonts w:ascii="Arial" w:hAnsi="Arial" w:cs="Arial"/>
                <w:sz w:val="20"/>
                <w:szCs w:val="20"/>
              </w:rPr>
            </w:pPr>
          </w:p>
        </w:tc>
        <w:tc>
          <w:tcPr>
            <w:tcW w:w="1350" w:type="dxa"/>
            <w:vMerge w:val="restart"/>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Action Plan</w:t>
            </w:r>
          </w:p>
        </w:tc>
        <w:tc>
          <w:tcPr>
            <w:tcW w:w="1530" w:type="dxa"/>
            <w:vMerge w:val="restart"/>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Person/</w:t>
            </w:r>
            <w:proofErr w:type="spellStart"/>
            <w:r w:rsidRPr="00E22465">
              <w:rPr>
                <w:rFonts w:ascii="Arial" w:hAnsi="Arial" w:cs="Arial"/>
                <w:b/>
                <w:sz w:val="20"/>
                <w:szCs w:val="20"/>
              </w:rPr>
              <w:t>Dept</w:t>
            </w:r>
            <w:proofErr w:type="spellEnd"/>
            <w:r w:rsidRPr="00E22465">
              <w:rPr>
                <w:rFonts w:ascii="Arial" w:hAnsi="Arial" w:cs="Arial"/>
                <w:b/>
                <w:sz w:val="20"/>
                <w:szCs w:val="20"/>
              </w:rPr>
              <w:t xml:space="preserve"> Responsible</w:t>
            </w:r>
          </w:p>
        </w:tc>
        <w:tc>
          <w:tcPr>
            <w:tcW w:w="2134" w:type="dxa"/>
            <w:gridSpan w:val="2"/>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Target Implementation Date</w:t>
            </w:r>
          </w:p>
        </w:tc>
        <w:tc>
          <w:tcPr>
            <w:tcW w:w="1646" w:type="dxa"/>
            <w:vMerge/>
          </w:tcPr>
          <w:p w:rsidR="00494AFA" w:rsidRPr="00E22465" w:rsidRDefault="00494AFA" w:rsidP="00AE04A4">
            <w:pPr>
              <w:rPr>
                <w:rFonts w:ascii="Arial" w:hAnsi="Arial" w:cs="Arial"/>
                <w:sz w:val="20"/>
                <w:szCs w:val="20"/>
              </w:rPr>
            </w:pPr>
          </w:p>
        </w:tc>
        <w:tc>
          <w:tcPr>
            <w:tcW w:w="1260" w:type="dxa"/>
            <w:vMerge/>
          </w:tcPr>
          <w:p w:rsidR="00494AFA" w:rsidRPr="00E22465" w:rsidRDefault="00494AFA" w:rsidP="00AE04A4">
            <w:pPr>
              <w:rPr>
                <w:rFonts w:ascii="Arial" w:hAnsi="Arial" w:cs="Arial"/>
                <w:sz w:val="20"/>
                <w:szCs w:val="20"/>
              </w:rPr>
            </w:pPr>
          </w:p>
        </w:tc>
        <w:tc>
          <w:tcPr>
            <w:tcW w:w="2380" w:type="dxa"/>
            <w:vMerge/>
          </w:tcPr>
          <w:p w:rsidR="00494AFA" w:rsidRPr="00E22465" w:rsidRDefault="00494AFA" w:rsidP="00AE04A4">
            <w:pPr>
              <w:rPr>
                <w:rFonts w:ascii="Arial" w:hAnsi="Arial" w:cs="Arial"/>
                <w:sz w:val="20"/>
                <w:szCs w:val="20"/>
              </w:rPr>
            </w:pPr>
          </w:p>
        </w:tc>
      </w:tr>
      <w:tr w:rsidR="003062F0" w:rsidRPr="00E22465" w:rsidTr="007D01AA">
        <w:tc>
          <w:tcPr>
            <w:tcW w:w="648" w:type="dxa"/>
            <w:vMerge/>
          </w:tcPr>
          <w:p w:rsidR="00494AFA" w:rsidRPr="00E22465" w:rsidRDefault="00494AFA" w:rsidP="00AE04A4">
            <w:pPr>
              <w:rPr>
                <w:rFonts w:ascii="Arial" w:hAnsi="Arial" w:cs="Arial"/>
                <w:sz w:val="20"/>
                <w:szCs w:val="20"/>
              </w:rPr>
            </w:pPr>
          </w:p>
        </w:tc>
        <w:tc>
          <w:tcPr>
            <w:tcW w:w="3294" w:type="dxa"/>
            <w:vMerge/>
          </w:tcPr>
          <w:p w:rsidR="00494AFA" w:rsidRPr="00E22465" w:rsidRDefault="00494AFA" w:rsidP="00AE04A4">
            <w:pPr>
              <w:rPr>
                <w:rFonts w:ascii="Arial" w:hAnsi="Arial" w:cs="Arial"/>
                <w:sz w:val="20"/>
                <w:szCs w:val="20"/>
              </w:rPr>
            </w:pPr>
          </w:p>
        </w:tc>
        <w:tc>
          <w:tcPr>
            <w:tcW w:w="3060" w:type="dxa"/>
            <w:vMerge/>
          </w:tcPr>
          <w:p w:rsidR="00494AFA" w:rsidRPr="00E22465" w:rsidRDefault="00494AFA" w:rsidP="00AE04A4">
            <w:pPr>
              <w:rPr>
                <w:rFonts w:ascii="Arial" w:hAnsi="Arial" w:cs="Arial"/>
                <w:sz w:val="20"/>
                <w:szCs w:val="20"/>
              </w:rPr>
            </w:pPr>
          </w:p>
        </w:tc>
        <w:tc>
          <w:tcPr>
            <w:tcW w:w="1350" w:type="dxa"/>
            <w:vMerge/>
          </w:tcPr>
          <w:p w:rsidR="00494AFA" w:rsidRPr="00E22465" w:rsidRDefault="00494AFA" w:rsidP="00494AFA">
            <w:pPr>
              <w:jc w:val="center"/>
              <w:rPr>
                <w:rFonts w:ascii="Arial" w:hAnsi="Arial" w:cs="Arial"/>
                <w:b/>
                <w:sz w:val="20"/>
                <w:szCs w:val="20"/>
              </w:rPr>
            </w:pPr>
          </w:p>
        </w:tc>
        <w:tc>
          <w:tcPr>
            <w:tcW w:w="1530" w:type="dxa"/>
            <w:vMerge/>
          </w:tcPr>
          <w:p w:rsidR="00494AFA" w:rsidRPr="00E22465" w:rsidRDefault="00494AFA" w:rsidP="00494AFA">
            <w:pPr>
              <w:jc w:val="center"/>
              <w:rPr>
                <w:rFonts w:ascii="Arial" w:hAnsi="Arial" w:cs="Arial"/>
                <w:b/>
                <w:sz w:val="20"/>
                <w:szCs w:val="20"/>
              </w:rPr>
            </w:pPr>
          </w:p>
        </w:tc>
        <w:tc>
          <w:tcPr>
            <w:tcW w:w="990" w:type="dxa"/>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From</w:t>
            </w:r>
          </w:p>
        </w:tc>
        <w:tc>
          <w:tcPr>
            <w:tcW w:w="1144" w:type="dxa"/>
          </w:tcPr>
          <w:p w:rsidR="00494AFA" w:rsidRPr="00E22465" w:rsidRDefault="00494AFA" w:rsidP="00494AFA">
            <w:pPr>
              <w:jc w:val="center"/>
              <w:rPr>
                <w:rFonts w:ascii="Arial" w:hAnsi="Arial" w:cs="Arial"/>
                <w:b/>
                <w:sz w:val="20"/>
                <w:szCs w:val="20"/>
              </w:rPr>
            </w:pPr>
            <w:r w:rsidRPr="00E22465">
              <w:rPr>
                <w:rFonts w:ascii="Arial" w:hAnsi="Arial" w:cs="Arial"/>
                <w:b/>
                <w:sz w:val="20"/>
                <w:szCs w:val="20"/>
              </w:rPr>
              <w:t>To</w:t>
            </w:r>
          </w:p>
        </w:tc>
        <w:tc>
          <w:tcPr>
            <w:tcW w:w="1646" w:type="dxa"/>
            <w:vMerge/>
          </w:tcPr>
          <w:p w:rsidR="00494AFA" w:rsidRPr="00E22465" w:rsidRDefault="00494AFA" w:rsidP="00AE04A4">
            <w:pPr>
              <w:rPr>
                <w:rFonts w:ascii="Arial" w:hAnsi="Arial" w:cs="Arial"/>
                <w:sz w:val="20"/>
                <w:szCs w:val="20"/>
              </w:rPr>
            </w:pPr>
          </w:p>
        </w:tc>
        <w:tc>
          <w:tcPr>
            <w:tcW w:w="1260" w:type="dxa"/>
            <w:vMerge/>
          </w:tcPr>
          <w:p w:rsidR="00494AFA" w:rsidRPr="00E22465" w:rsidRDefault="00494AFA" w:rsidP="00AE04A4">
            <w:pPr>
              <w:rPr>
                <w:rFonts w:ascii="Arial" w:hAnsi="Arial" w:cs="Arial"/>
                <w:sz w:val="20"/>
                <w:szCs w:val="20"/>
              </w:rPr>
            </w:pPr>
          </w:p>
        </w:tc>
        <w:tc>
          <w:tcPr>
            <w:tcW w:w="2380" w:type="dxa"/>
            <w:vMerge/>
          </w:tcPr>
          <w:p w:rsidR="00494AFA" w:rsidRPr="00E22465" w:rsidRDefault="00494AFA" w:rsidP="00AE04A4">
            <w:pPr>
              <w:rPr>
                <w:rFonts w:ascii="Arial" w:hAnsi="Arial" w:cs="Arial"/>
                <w:sz w:val="20"/>
                <w:szCs w:val="20"/>
              </w:rPr>
            </w:pPr>
          </w:p>
        </w:tc>
      </w:tr>
      <w:tr w:rsidR="00494AFA" w:rsidRPr="00E22465" w:rsidTr="007D01AA">
        <w:tc>
          <w:tcPr>
            <w:tcW w:w="648" w:type="dxa"/>
          </w:tcPr>
          <w:p w:rsidR="00AD6246" w:rsidRPr="00E22465" w:rsidRDefault="00AD6246" w:rsidP="00AD6246">
            <w:pPr>
              <w:jc w:val="center"/>
              <w:rPr>
                <w:rFonts w:ascii="Arial" w:hAnsi="Arial" w:cs="Arial"/>
                <w:b/>
                <w:sz w:val="20"/>
                <w:szCs w:val="20"/>
              </w:rPr>
            </w:pPr>
            <w:r w:rsidRPr="00E22465">
              <w:rPr>
                <w:rFonts w:ascii="Arial" w:hAnsi="Arial" w:cs="Arial"/>
                <w:b/>
                <w:sz w:val="20"/>
                <w:szCs w:val="20"/>
              </w:rPr>
              <w:t>1</w:t>
            </w:r>
          </w:p>
        </w:tc>
        <w:tc>
          <w:tcPr>
            <w:tcW w:w="3294" w:type="dxa"/>
          </w:tcPr>
          <w:p w:rsidR="00AD6246" w:rsidRPr="00E22465" w:rsidRDefault="00894158" w:rsidP="00D6624C">
            <w:pPr>
              <w:rPr>
                <w:rFonts w:ascii="Arial" w:hAnsi="Arial" w:cs="Arial"/>
                <w:sz w:val="20"/>
                <w:szCs w:val="20"/>
              </w:rPr>
            </w:pPr>
            <w:r w:rsidRPr="00E22465">
              <w:rPr>
                <w:rFonts w:ascii="Arial" w:hAnsi="Arial" w:cs="Arial"/>
                <w:sz w:val="20"/>
                <w:szCs w:val="20"/>
              </w:rPr>
              <w:t xml:space="preserve">The faithful representation of the balance of the Accounts Receivable account </w:t>
            </w:r>
            <w:proofErr w:type="spellStart"/>
            <w:r w:rsidRPr="00E22465">
              <w:rPr>
                <w:rFonts w:ascii="Arial" w:hAnsi="Arial" w:cs="Arial"/>
                <w:sz w:val="20"/>
                <w:szCs w:val="20"/>
              </w:rPr>
              <w:t>totalling</w:t>
            </w:r>
            <w:proofErr w:type="spellEnd"/>
            <w:r w:rsidRPr="00E22465">
              <w:rPr>
                <w:rFonts w:ascii="Arial" w:hAnsi="Arial" w:cs="Arial"/>
                <w:sz w:val="20"/>
                <w:szCs w:val="20"/>
              </w:rPr>
              <w:t xml:space="preserve"> P228.507 million as at December 31, 2018 was not established in view of the variance amounting to P46.299 million between the balance per books and the confirmed balances from various government agencies and private clients, contrary to the Conceptual Framework for General Purpose Financial Reporting by Public Sector Entities.</w:t>
            </w:r>
          </w:p>
        </w:tc>
        <w:tc>
          <w:tcPr>
            <w:tcW w:w="3060" w:type="dxa"/>
          </w:tcPr>
          <w:p w:rsidR="00494AFA" w:rsidRPr="00E22465" w:rsidRDefault="00894158" w:rsidP="00AE04A4">
            <w:pPr>
              <w:rPr>
                <w:rFonts w:ascii="Arial" w:hAnsi="Arial" w:cs="Arial"/>
                <w:sz w:val="20"/>
                <w:szCs w:val="20"/>
              </w:rPr>
            </w:pPr>
            <w:r w:rsidRPr="00E22465">
              <w:rPr>
                <w:rFonts w:ascii="Arial" w:hAnsi="Arial" w:cs="Arial"/>
                <w:sz w:val="20"/>
                <w:szCs w:val="20"/>
              </w:rPr>
              <w:t>We recommended that Management direct the Accounting Division to exert all efforts to review, analyze, and reconcile the Accounts Receivable with their clients’ records, and make the necessary adjustment in the books, if any.</w:t>
            </w:r>
          </w:p>
        </w:tc>
        <w:tc>
          <w:tcPr>
            <w:tcW w:w="1350" w:type="dxa"/>
          </w:tcPr>
          <w:p w:rsidR="00494AFA" w:rsidRPr="00E22465" w:rsidRDefault="00494AFA" w:rsidP="00AE04A4">
            <w:pPr>
              <w:rPr>
                <w:rFonts w:ascii="Arial" w:hAnsi="Arial" w:cs="Arial"/>
                <w:sz w:val="20"/>
                <w:szCs w:val="20"/>
              </w:rPr>
            </w:pPr>
          </w:p>
        </w:tc>
        <w:tc>
          <w:tcPr>
            <w:tcW w:w="1530" w:type="dxa"/>
          </w:tcPr>
          <w:p w:rsidR="00494AFA" w:rsidRPr="00E22465" w:rsidRDefault="00494AFA" w:rsidP="00AE04A4">
            <w:pPr>
              <w:rPr>
                <w:rFonts w:ascii="Arial" w:hAnsi="Arial" w:cs="Arial"/>
                <w:sz w:val="20"/>
                <w:szCs w:val="20"/>
              </w:rPr>
            </w:pPr>
          </w:p>
        </w:tc>
        <w:tc>
          <w:tcPr>
            <w:tcW w:w="990" w:type="dxa"/>
          </w:tcPr>
          <w:p w:rsidR="00494AFA" w:rsidRPr="00E22465" w:rsidRDefault="007D01AA" w:rsidP="00AE04A4">
            <w:pPr>
              <w:rPr>
                <w:rFonts w:ascii="Arial" w:hAnsi="Arial" w:cs="Arial"/>
                <w:sz w:val="20"/>
                <w:szCs w:val="20"/>
              </w:rPr>
            </w:pPr>
            <w:r>
              <w:rPr>
                <w:rFonts w:ascii="Arial" w:hAnsi="Arial" w:cs="Arial"/>
                <w:sz w:val="20"/>
                <w:szCs w:val="20"/>
              </w:rPr>
              <w:t>January 2019</w:t>
            </w:r>
          </w:p>
        </w:tc>
        <w:tc>
          <w:tcPr>
            <w:tcW w:w="1144" w:type="dxa"/>
          </w:tcPr>
          <w:p w:rsidR="00494AFA" w:rsidRPr="00E22465" w:rsidRDefault="007D01AA" w:rsidP="00AE04A4">
            <w:pPr>
              <w:rPr>
                <w:rFonts w:ascii="Arial" w:hAnsi="Arial" w:cs="Arial"/>
                <w:sz w:val="20"/>
                <w:szCs w:val="20"/>
              </w:rPr>
            </w:pPr>
            <w:r>
              <w:rPr>
                <w:rFonts w:ascii="Arial" w:hAnsi="Arial" w:cs="Arial"/>
                <w:sz w:val="20"/>
                <w:szCs w:val="20"/>
              </w:rPr>
              <w:t>October 2019</w:t>
            </w:r>
          </w:p>
        </w:tc>
        <w:tc>
          <w:tcPr>
            <w:tcW w:w="1646" w:type="dxa"/>
          </w:tcPr>
          <w:p w:rsidR="00494AFA" w:rsidRPr="00E22465" w:rsidRDefault="00AD6246" w:rsidP="00AE04A4">
            <w:pPr>
              <w:rPr>
                <w:rFonts w:ascii="Arial" w:hAnsi="Arial" w:cs="Arial"/>
                <w:sz w:val="20"/>
                <w:szCs w:val="20"/>
              </w:rPr>
            </w:pPr>
            <w:r w:rsidRPr="00E22465">
              <w:rPr>
                <w:rFonts w:ascii="Arial" w:hAnsi="Arial" w:cs="Arial"/>
                <w:sz w:val="20"/>
                <w:szCs w:val="20"/>
              </w:rPr>
              <w:t>Fully implemented</w:t>
            </w:r>
          </w:p>
        </w:tc>
        <w:tc>
          <w:tcPr>
            <w:tcW w:w="1260" w:type="dxa"/>
          </w:tcPr>
          <w:p w:rsidR="00494AFA" w:rsidRPr="00E22465" w:rsidRDefault="00494AFA" w:rsidP="00AE04A4">
            <w:pPr>
              <w:rPr>
                <w:rFonts w:ascii="Arial" w:hAnsi="Arial" w:cs="Arial"/>
                <w:sz w:val="20"/>
                <w:szCs w:val="20"/>
              </w:rPr>
            </w:pPr>
          </w:p>
        </w:tc>
        <w:tc>
          <w:tcPr>
            <w:tcW w:w="2380" w:type="dxa"/>
          </w:tcPr>
          <w:p w:rsidR="00494AFA" w:rsidRPr="00E22465" w:rsidRDefault="00894158" w:rsidP="00AE04A4">
            <w:pPr>
              <w:rPr>
                <w:rFonts w:ascii="Arial" w:hAnsi="Arial" w:cs="Arial"/>
                <w:sz w:val="20"/>
                <w:szCs w:val="20"/>
              </w:rPr>
            </w:pPr>
            <w:r w:rsidRPr="00E22465">
              <w:rPr>
                <w:rFonts w:ascii="Arial" w:hAnsi="Arial" w:cs="Arial"/>
                <w:sz w:val="20"/>
                <w:szCs w:val="20"/>
              </w:rPr>
              <w:t xml:space="preserve">All related Journal Entry Vouchers (JEVs) including other supporting documents are attached as </w:t>
            </w:r>
            <w:r w:rsidRPr="00F264A8">
              <w:rPr>
                <w:rFonts w:ascii="Arial" w:hAnsi="Arial" w:cs="Arial"/>
                <w:b/>
                <w:sz w:val="20"/>
                <w:szCs w:val="20"/>
              </w:rPr>
              <w:t>Annex 1.</w:t>
            </w:r>
          </w:p>
        </w:tc>
      </w:tr>
      <w:tr w:rsidR="00494AFA" w:rsidRPr="00E22465" w:rsidTr="007D01AA">
        <w:tc>
          <w:tcPr>
            <w:tcW w:w="648" w:type="dxa"/>
          </w:tcPr>
          <w:p w:rsidR="00494AFA" w:rsidRPr="00E22465" w:rsidRDefault="00AD6246" w:rsidP="00AD6246">
            <w:pPr>
              <w:jc w:val="center"/>
              <w:rPr>
                <w:rFonts w:ascii="Arial" w:hAnsi="Arial" w:cs="Arial"/>
                <w:b/>
                <w:sz w:val="20"/>
                <w:szCs w:val="20"/>
              </w:rPr>
            </w:pPr>
            <w:r w:rsidRPr="00E22465">
              <w:rPr>
                <w:rFonts w:ascii="Arial" w:hAnsi="Arial" w:cs="Arial"/>
                <w:b/>
                <w:sz w:val="20"/>
                <w:szCs w:val="20"/>
              </w:rPr>
              <w:t>2</w:t>
            </w:r>
          </w:p>
        </w:tc>
        <w:tc>
          <w:tcPr>
            <w:tcW w:w="3294" w:type="dxa"/>
          </w:tcPr>
          <w:p w:rsidR="00494AFA" w:rsidRPr="00E22465" w:rsidRDefault="00894158" w:rsidP="00AE04A4">
            <w:pPr>
              <w:rPr>
                <w:rFonts w:ascii="Arial" w:hAnsi="Arial" w:cs="Arial"/>
                <w:sz w:val="20"/>
                <w:szCs w:val="20"/>
              </w:rPr>
            </w:pPr>
            <w:r w:rsidRPr="00E22465">
              <w:rPr>
                <w:rFonts w:ascii="Arial" w:hAnsi="Arial" w:cs="Arial"/>
                <w:sz w:val="20"/>
                <w:szCs w:val="20"/>
              </w:rPr>
              <w:t xml:space="preserve">The year-end balance of the Due to Officers and Employees account amounting to P64.022 million as of December 31, 2018 was overstated by P55.589 million due to accruals  made for Financial Performance Award (FPA) and Performance Based Bonus (PBB) amounting to P42.644 million and P12.945 million, respectively, which were not valid obligations. Likewise, the inadequacy in the maintenance of the Subsidiary Ledgers (SLs) resulted in the discrepancy amounting to P1.592 </w:t>
            </w:r>
            <w:r w:rsidRPr="00E22465">
              <w:rPr>
                <w:rFonts w:ascii="Arial" w:hAnsi="Arial" w:cs="Arial"/>
                <w:sz w:val="20"/>
                <w:szCs w:val="20"/>
              </w:rPr>
              <w:lastRenderedPageBreak/>
              <w:t>million between the balances of the General Ledger (GL) and the SLs.</w:t>
            </w:r>
          </w:p>
        </w:tc>
        <w:tc>
          <w:tcPr>
            <w:tcW w:w="3060" w:type="dxa"/>
          </w:tcPr>
          <w:p w:rsidR="00894158" w:rsidRPr="00E22465" w:rsidRDefault="00894158" w:rsidP="00894158">
            <w:pPr>
              <w:rPr>
                <w:rFonts w:ascii="Arial" w:hAnsi="Arial" w:cs="Arial"/>
                <w:sz w:val="20"/>
                <w:szCs w:val="20"/>
              </w:rPr>
            </w:pPr>
            <w:r w:rsidRPr="00E22465">
              <w:rPr>
                <w:rFonts w:ascii="Arial" w:hAnsi="Arial" w:cs="Arial"/>
                <w:sz w:val="20"/>
                <w:szCs w:val="20"/>
              </w:rPr>
              <w:lastRenderedPageBreak/>
              <w:t>We recommended and the Academy agreed to:</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a.  Adjust/correct the recorded FPA and PBB as these are not valid obligations and, henceforth, ensure that only valid obligations shall be taken up in the books of accounts;</w:t>
            </w:r>
          </w:p>
          <w:p w:rsidR="005E7AC2" w:rsidRDefault="005E7AC2"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b. Reconcile the balance  reflected in the GL with the balances in the SLs of the Due to Officers and Employees account; and</w:t>
            </w:r>
          </w:p>
          <w:p w:rsidR="005E7AC2" w:rsidRDefault="005E7AC2" w:rsidP="00894158">
            <w:pPr>
              <w:rPr>
                <w:rFonts w:ascii="Arial" w:hAnsi="Arial" w:cs="Arial"/>
                <w:sz w:val="20"/>
                <w:szCs w:val="20"/>
              </w:rPr>
            </w:pPr>
          </w:p>
          <w:p w:rsidR="00494AFA" w:rsidRPr="00E22465" w:rsidRDefault="00894158" w:rsidP="00894158">
            <w:pPr>
              <w:rPr>
                <w:rFonts w:ascii="Arial" w:hAnsi="Arial" w:cs="Arial"/>
                <w:sz w:val="20"/>
                <w:szCs w:val="20"/>
              </w:rPr>
            </w:pPr>
            <w:r w:rsidRPr="00E22465">
              <w:rPr>
                <w:rFonts w:ascii="Arial" w:hAnsi="Arial" w:cs="Arial"/>
                <w:sz w:val="20"/>
                <w:szCs w:val="20"/>
              </w:rPr>
              <w:t>c. Enhance the FMIS to capture every transaction to ensure the correctness of the financial data/reports.</w:t>
            </w:r>
          </w:p>
        </w:tc>
        <w:tc>
          <w:tcPr>
            <w:tcW w:w="1350" w:type="dxa"/>
          </w:tcPr>
          <w:p w:rsidR="00494AFA" w:rsidRPr="00E22465" w:rsidRDefault="00494AFA" w:rsidP="00AE04A4">
            <w:pPr>
              <w:rPr>
                <w:rFonts w:ascii="Arial" w:hAnsi="Arial" w:cs="Arial"/>
                <w:sz w:val="20"/>
                <w:szCs w:val="20"/>
              </w:rPr>
            </w:pPr>
          </w:p>
        </w:tc>
        <w:tc>
          <w:tcPr>
            <w:tcW w:w="1530" w:type="dxa"/>
          </w:tcPr>
          <w:p w:rsidR="00494AFA" w:rsidRPr="00E22465" w:rsidRDefault="00494AFA" w:rsidP="00AE04A4">
            <w:pPr>
              <w:rPr>
                <w:rFonts w:ascii="Arial" w:hAnsi="Arial" w:cs="Arial"/>
                <w:sz w:val="20"/>
                <w:szCs w:val="20"/>
              </w:rPr>
            </w:pPr>
          </w:p>
        </w:tc>
        <w:tc>
          <w:tcPr>
            <w:tcW w:w="990" w:type="dxa"/>
          </w:tcPr>
          <w:p w:rsidR="00494AFA" w:rsidRDefault="00494AFA" w:rsidP="00AE04A4">
            <w:pPr>
              <w:rPr>
                <w:rFonts w:ascii="Arial" w:hAnsi="Arial" w:cs="Arial"/>
                <w:sz w:val="20"/>
                <w:szCs w:val="20"/>
              </w:rPr>
            </w:pPr>
          </w:p>
          <w:p w:rsidR="007D01AA" w:rsidRDefault="007D01AA" w:rsidP="00AE04A4">
            <w:pPr>
              <w:rPr>
                <w:rFonts w:ascii="Arial" w:hAnsi="Arial" w:cs="Arial"/>
                <w:sz w:val="20"/>
                <w:szCs w:val="20"/>
              </w:rPr>
            </w:pPr>
          </w:p>
          <w:p w:rsidR="007D01AA" w:rsidRDefault="007D01AA" w:rsidP="00AE04A4">
            <w:pPr>
              <w:rPr>
                <w:rFonts w:ascii="Arial" w:hAnsi="Arial" w:cs="Arial"/>
                <w:sz w:val="20"/>
                <w:szCs w:val="20"/>
              </w:rPr>
            </w:pPr>
          </w:p>
          <w:p w:rsidR="007D01AA" w:rsidRDefault="007D01AA" w:rsidP="007D01AA">
            <w:pPr>
              <w:rPr>
                <w:rFonts w:ascii="Arial" w:hAnsi="Arial" w:cs="Arial"/>
                <w:sz w:val="20"/>
                <w:szCs w:val="20"/>
              </w:rPr>
            </w:pPr>
            <w:r>
              <w:rPr>
                <w:rFonts w:ascii="Arial" w:hAnsi="Arial" w:cs="Arial"/>
                <w:sz w:val="20"/>
                <w:szCs w:val="20"/>
              </w:rPr>
              <w:t>July 2019</w:t>
            </w: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r>
              <w:rPr>
                <w:rFonts w:ascii="Arial" w:hAnsi="Arial" w:cs="Arial"/>
                <w:sz w:val="20"/>
                <w:szCs w:val="20"/>
              </w:rPr>
              <w:t>March 2019</w:t>
            </w: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Default="00785DCA" w:rsidP="007D01AA">
            <w:pPr>
              <w:rPr>
                <w:rFonts w:ascii="Arial" w:hAnsi="Arial" w:cs="Arial"/>
                <w:sz w:val="20"/>
                <w:szCs w:val="20"/>
              </w:rPr>
            </w:pPr>
          </w:p>
          <w:p w:rsidR="00785DCA" w:rsidRPr="00E22465" w:rsidRDefault="00785DCA" w:rsidP="007D01AA">
            <w:pPr>
              <w:rPr>
                <w:rFonts w:ascii="Arial" w:hAnsi="Arial" w:cs="Arial"/>
                <w:sz w:val="20"/>
                <w:szCs w:val="20"/>
              </w:rPr>
            </w:pPr>
            <w:r>
              <w:rPr>
                <w:rFonts w:ascii="Arial" w:hAnsi="Arial" w:cs="Arial"/>
                <w:sz w:val="20"/>
                <w:szCs w:val="20"/>
              </w:rPr>
              <w:t>July 2019</w:t>
            </w:r>
          </w:p>
        </w:tc>
        <w:tc>
          <w:tcPr>
            <w:tcW w:w="1144" w:type="dxa"/>
          </w:tcPr>
          <w:p w:rsidR="007D01AA" w:rsidRDefault="007D01AA" w:rsidP="00AE04A4">
            <w:pPr>
              <w:rPr>
                <w:rFonts w:ascii="Arial" w:hAnsi="Arial" w:cs="Arial"/>
                <w:sz w:val="20"/>
                <w:szCs w:val="20"/>
              </w:rPr>
            </w:pPr>
          </w:p>
          <w:p w:rsidR="007D01AA" w:rsidRDefault="007D01AA" w:rsidP="00AE04A4">
            <w:pPr>
              <w:rPr>
                <w:rFonts w:ascii="Arial" w:hAnsi="Arial" w:cs="Arial"/>
                <w:sz w:val="20"/>
                <w:szCs w:val="20"/>
              </w:rPr>
            </w:pPr>
          </w:p>
          <w:p w:rsidR="007D01AA" w:rsidRDefault="007D01AA" w:rsidP="00AE04A4">
            <w:pPr>
              <w:rPr>
                <w:rFonts w:ascii="Arial" w:hAnsi="Arial" w:cs="Arial"/>
                <w:sz w:val="20"/>
                <w:szCs w:val="20"/>
              </w:rPr>
            </w:pPr>
          </w:p>
          <w:p w:rsidR="00494AFA" w:rsidRDefault="007D01AA" w:rsidP="00AE04A4">
            <w:pPr>
              <w:rPr>
                <w:rFonts w:ascii="Arial" w:hAnsi="Arial" w:cs="Arial"/>
                <w:sz w:val="20"/>
                <w:szCs w:val="20"/>
              </w:rPr>
            </w:pPr>
            <w:r>
              <w:rPr>
                <w:rFonts w:ascii="Arial" w:hAnsi="Arial" w:cs="Arial"/>
                <w:sz w:val="20"/>
                <w:szCs w:val="20"/>
              </w:rPr>
              <w:t>November 2019</w:t>
            </w: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r>
              <w:rPr>
                <w:rFonts w:ascii="Arial" w:hAnsi="Arial" w:cs="Arial"/>
                <w:sz w:val="20"/>
                <w:szCs w:val="20"/>
              </w:rPr>
              <w:t>November 2019</w:t>
            </w: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Pr="00E22465" w:rsidRDefault="00785DCA" w:rsidP="00AE04A4">
            <w:pPr>
              <w:rPr>
                <w:rFonts w:ascii="Arial" w:hAnsi="Arial" w:cs="Arial"/>
                <w:sz w:val="20"/>
                <w:szCs w:val="20"/>
              </w:rPr>
            </w:pPr>
            <w:r>
              <w:rPr>
                <w:rFonts w:ascii="Arial" w:hAnsi="Arial" w:cs="Arial"/>
                <w:sz w:val="20"/>
                <w:szCs w:val="20"/>
              </w:rPr>
              <w:t>November 2019</w:t>
            </w:r>
          </w:p>
        </w:tc>
        <w:tc>
          <w:tcPr>
            <w:tcW w:w="1646" w:type="dxa"/>
          </w:tcPr>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94AFA" w:rsidRDefault="00A80236" w:rsidP="00AE04A4">
            <w:pPr>
              <w:rPr>
                <w:rFonts w:ascii="Arial" w:hAnsi="Arial" w:cs="Arial"/>
                <w:sz w:val="20"/>
                <w:szCs w:val="20"/>
              </w:rPr>
            </w:pPr>
            <w:r w:rsidRPr="00E22465">
              <w:rPr>
                <w:rFonts w:ascii="Arial" w:hAnsi="Arial" w:cs="Arial"/>
                <w:sz w:val="20"/>
                <w:szCs w:val="20"/>
              </w:rPr>
              <w:t>Fully 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5E7AC2" w:rsidRDefault="005E7AC2" w:rsidP="00426E93">
            <w:pPr>
              <w:rPr>
                <w:rFonts w:ascii="Arial" w:hAnsi="Arial" w:cs="Arial"/>
                <w:sz w:val="20"/>
                <w:szCs w:val="20"/>
              </w:rPr>
            </w:pPr>
          </w:p>
          <w:p w:rsidR="00426E93" w:rsidRDefault="00426E93" w:rsidP="00426E93">
            <w:pPr>
              <w:rPr>
                <w:rFonts w:ascii="Arial" w:hAnsi="Arial" w:cs="Arial"/>
                <w:sz w:val="20"/>
                <w:szCs w:val="20"/>
              </w:rPr>
            </w:pPr>
            <w:r w:rsidRPr="00E22465">
              <w:rPr>
                <w:rFonts w:ascii="Arial" w:hAnsi="Arial" w:cs="Arial"/>
                <w:sz w:val="20"/>
                <w:szCs w:val="20"/>
              </w:rPr>
              <w:t>Fully implemented</w:t>
            </w:r>
          </w:p>
          <w:p w:rsidR="00426E93" w:rsidRDefault="00426E93" w:rsidP="00426E93">
            <w:pPr>
              <w:rPr>
                <w:rFonts w:ascii="Arial" w:hAnsi="Arial" w:cs="Arial"/>
                <w:sz w:val="20"/>
                <w:szCs w:val="20"/>
              </w:rPr>
            </w:pPr>
          </w:p>
          <w:p w:rsidR="00426E93" w:rsidRDefault="00426E93" w:rsidP="00426E93">
            <w:pPr>
              <w:rPr>
                <w:rFonts w:ascii="Arial" w:hAnsi="Arial" w:cs="Arial"/>
                <w:sz w:val="20"/>
                <w:szCs w:val="20"/>
              </w:rPr>
            </w:pPr>
          </w:p>
          <w:p w:rsidR="00426E93" w:rsidRDefault="00426E93" w:rsidP="00426E93">
            <w:pPr>
              <w:rPr>
                <w:rFonts w:ascii="Arial" w:hAnsi="Arial" w:cs="Arial"/>
                <w:sz w:val="20"/>
                <w:szCs w:val="20"/>
              </w:rPr>
            </w:pPr>
          </w:p>
          <w:p w:rsidR="005E7AC2" w:rsidRDefault="005E7AC2" w:rsidP="00426E93">
            <w:pPr>
              <w:rPr>
                <w:rFonts w:ascii="Arial" w:hAnsi="Arial" w:cs="Arial"/>
                <w:sz w:val="20"/>
                <w:szCs w:val="20"/>
              </w:rPr>
            </w:pPr>
          </w:p>
          <w:p w:rsidR="00426E93" w:rsidRDefault="00426E93" w:rsidP="00426E93">
            <w:pPr>
              <w:rPr>
                <w:rFonts w:ascii="Arial" w:hAnsi="Arial" w:cs="Arial"/>
                <w:sz w:val="20"/>
                <w:szCs w:val="20"/>
              </w:rPr>
            </w:pPr>
            <w:r w:rsidRPr="00E22465">
              <w:rPr>
                <w:rFonts w:ascii="Arial" w:hAnsi="Arial" w:cs="Arial"/>
                <w:sz w:val="20"/>
                <w:szCs w:val="20"/>
              </w:rPr>
              <w:t>Fully implemented</w:t>
            </w:r>
          </w:p>
          <w:p w:rsidR="00426E93" w:rsidRDefault="00426E93" w:rsidP="00426E93">
            <w:pPr>
              <w:rPr>
                <w:rFonts w:ascii="Arial" w:hAnsi="Arial" w:cs="Arial"/>
                <w:sz w:val="20"/>
                <w:szCs w:val="20"/>
              </w:rPr>
            </w:pPr>
          </w:p>
          <w:p w:rsidR="00426E93" w:rsidRPr="00E22465" w:rsidRDefault="00426E93" w:rsidP="00AE04A4">
            <w:pPr>
              <w:rPr>
                <w:rFonts w:ascii="Arial" w:hAnsi="Arial" w:cs="Arial"/>
                <w:sz w:val="20"/>
                <w:szCs w:val="20"/>
              </w:rPr>
            </w:pPr>
          </w:p>
        </w:tc>
        <w:tc>
          <w:tcPr>
            <w:tcW w:w="1260" w:type="dxa"/>
          </w:tcPr>
          <w:p w:rsidR="00494AFA" w:rsidRPr="00E22465" w:rsidRDefault="00494AFA" w:rsidP="00AE04A4">
            <w:pPr>
              <w:rPr>
                <w:rFonts w:ascii="Arial" w:hAnsi="Arial" w:cs="Arial"/>
                <w:sz w:val="20"/>
                <w:szCs w:val="20"/>
              </w:rPr>
            </w:pPr>
          </w:p>
        </w:tc>
        <w:tc>
          <w:tcPr>
            <w:tcW w:w="2380" w:type="dxa"/>
          </w:tcPr>
          <w:p w:rsidR="00494AFA" w:rsidRPr="00E22465" w:rsidRDefault="00894158" w:rsidP="00AE04A4">
            <w:pPr>
              <w:rPr>
                <w:rFonts w:ascii="Arial" w:hAnsi="Arial" w:cs="Arial"/>
                <w:sz w:val="20"/>
                <w:szCs w:val="20"/>
              </w:rPr>
            </w:pPr>
            <w:r w:rsidRPr="00E22465">
              <w:rPr>
                <w:rFonts w:ascii="Arial" w:hAnsi="Arial" w:cs="Arial"/>
                <w:sz w:val="20"/>
                <w:szCs w:val="20"/>
              </w:rPr>
              <w:t xml:space="preserve">All related JEVs to support full compliance of this AOM are </w:t>
            </w:r>
            <w:r w:rsidR="00364BB2">
              <w:rPr>
                <w:rFonts w:ascii="Arial" w:hAnsi="Arial" w:cs="Arial"/>
                <w:sz w:val="20"/>
                <w:szCs w:val="20"/>
              </w:rPr>
              <w:t xml:space="preserve">reflected in the attached </w:t>
            </w:r>
            <w:r w:rsidR="00364BB2" w:rsidRPr="00F264A8">
              <w:rPr>
                <w:rFonts w:ascii="Arial" w:hAnsi="Arial" w:cs="Arial"/>
                <w:b/>
                <w:sz w:val="20"/>
                <w:szCs w:val="20"/>
              </w:rPr>
              <w:t>Annex 2</w:t>
            </w:r>
            <w:r w:rsidR="00364BB2">
              <w:rPr>
                <w:rFonts w:ascii="Arial" w:hAnsi="Arial" w:cs="Arial"/>
                <w:sz w:val="20"/>
                <w:szCs w:val="20"/>
              </w:rPr>
              <w:t>.</w:t>
            </w:r>
          </w:p>
        </w:tc>
      </w:tr>
      <w:tr w:rsidR="00494AFA" w:rsidRPr="00E22465" w:rsidTr="007D01AA">
        <w:tc>
          <w:tcPr>
            <w:tcW w:w="648" w:type="dxa"/>
          </w:tcPr>
          <w:p w:rsidR="00494AFA" w:rsidRPr="00E22465" w:rsidRDefault="00AD6246" w:rsidP="00AD6246">
            <w:pPr>
              <w:jc w:val="center"/>
              <w:rPr>
                <w:rFonts w:ascii="Arial" w:hAnsi="Arial" w:cs="Arial"/>
                <w:b/>
                <w:sz w:val="20"/>
                <w:szCs w:val="20"/>
              </w:rPr>
            </w:pPr>
            <w:r w:rsidRPr="00E22465">
              <w:rPr>
                <w:rFonts w:ascii="Arial" w:hAnsi="Arial" w:cs="Arial"/>
                <w:b/>
                <w:sz w:val="20"/>
                <w:szCs w:val="20"/>
              </w:rPr>
              <w:lastRenderedPageBreak/>
              <w:t>3</w:t>
            </w:r>
          </w:p>
        </w:tc>
        <w:tc>
          <w:tcPr>
            <w:tcW w:w="3294" w:type="dxa"/>
          </w:tcPr>
          <w:p w:rsidR="00494AFA" w:rsidRPr="00E22465" w:rsidRDefault="00894158" w:rsidP="00AE04A4">
            <w:pPr>
              <w:rPr>
                <w:rFonts w:ascii="Arial" w:hAnsi="Arial" w:cs="Arial"/>
                <w:sz w:val="20"/>
                <w:szCs w:val="20"/>
              </w:rPr>
            </w:pPr>
            <w:r w:rsidRPr="00E22465">
              <w:rPr>
                <w:rFonts w:ascii="Arial" w:hAnsi="Arial" w:cs="Arial"/>
                <w:sz w:val="20"/>
                <w:szCs w:val="20"/>
              </w:rPr>
              <w:t>The Unearned Revenue/Income account with total balance of P85.890 million as at December 31, 2018 still included already earned revenue/income from completed and terminated projects in the amounts of P18.000 million and P1.235 million, respectively, thus overstating the said account in the amount of P19.235 million and understatement of the Accumulated Surplus/(Deficit) by the same amount.</w:t>
            </w:r>
          </w:p>
        </w:tc>
        <w:tc>
          <w:tcPr>
            <w:tcW w:w="3060" w:type="dxa"/>
          </w:tcPr>
          <w:p w:rsidR="00894158" w:rsidRPr="00E22465" w:rsidRDefault="00894158" w:rsidP="00894158">
            <w:pPr>
              <w:rPr>
                <w:rFonts w:ascii="Arial" w:hAnsi="Arial" w:cs="Arial"/>
                <w:sz w:val="20"/>
                <w:szCs w:val="20"/>
              </w:rPr>
            </w:pPr>
            <w:r w:rsidRPr="00E22465">
              <w:rPr>
                <w:rFonts w:ascii="Arial" w:hAnsi="Arial" w:cs="Arial"/>
                <w:sz w:val="20"/>
                <w:szCs w:val="20"/>
              </w:rPr>
              <w:t>We recommended and Management agreed to prepare the necessary adjusting entries to correct the balances of the Unearned Revenue/Income and Accumulated Surplus</w:t>
            </w:r>
            <w:proofErr w:type="gramStart"/>
            <w:r w:rsidRPr="00E22465">
              <w:rPr>
                <w:rFonts w:ascii="Arial" w:hAnsi="Arial" w:cs="Arial"/>
                <w:sz w:val="20"/>
                <w:szCs w:val="20"/>
              </w:rPr>
              <w:t>/(</w:t>
            </w:r>
            <w:proofErr w:type="gramEnd"/>
            <w:r w:rsidRPr="00E22465">
              <w:rPr>
                <w:rFonts w:ascii="Arial" w:hAnsi="Arial" w:cs="Arial"/>
                <w:sz w:val="20"/>
                <w:szCs w:val="20"/>
              </w:rPr>
              <w:t>Deficit) accounts.</w:t>
            </w:r>
          </w:p>
          <w:p w:rsidR="00894158" w:rsidRPr="00E22465" w:rsidRDefault="00894158" w:rsidP="00894158">
            <w:pPr>
              <w:rPr>
                <w:rFonts w:ascii="Arial" w:hAnsi="Arial" w:cs="Arial"/>
                <w:sz w:val="20"/>
                <w:szCs w:val="20"/>
              </w:rPr>
            </w:pPr>
          </w:p>
          <w:p w:rsidR="003062F0" w:rsidRPr="00E22465" w:rsidRDefault="00894158" w:rsidP="00894158">
            <w:pPr>
              <w:rPr>
                <w:rFonts w:ascii="Arial" w:hAnsi="Arial" w:cs="Arial"/>
                <w:sz w:val="20"/>
                <w:szCs w:val="20"/>
              </w:rPr>
            </w:pPr>
            <w:r w:rsidRPr="00E22465">
              <w:rPr>
                <w:rFonts w:ascii="Arial" w:hAnsi="Arial" w:cs="Arial"/>
                <w:sz w:val="20"/>
                <w:szCs w:val="20"/>
              </w:rPr>
              <w:t>Likewise, we recommended that Management exert all efforts to document the seven long un-completed projects so that the advance revenue of P0.872 million still recorded under the Unearned Revenue/Income account could be adjusted to appropriate account.</w:t>
            </w:r>
          </w:p>
        </w:tc>
        <w:tc>
          <w:tcPr>
            <w:tcW w:w="1350" w:type="dxa"/>
          </w:tcPr>
          <w:p w:rsidR="00494AFA" w:rsidRPr="00E22465" w:rsidRDefault="00494AFA" w:rsidP="00AE04A4">
            <w:pPr>
              <w:rPr>
                <w:rFonts w:ascii="Arial" w:hAnsi="Arial" w:cs="Arial"/>
                <w:sz w:val="20"/>
                <w:szCs w:val="20"/>
              </w:rPr>
            </w:pPr>
          </w:p>
        </w:tc>
        <w:tc>
          <w:tcPr>
            <w:tcW w:w="1530" w:type="dxa"/>
          </w:tcPr>
          <w:p w:rsidR="00494AFA" w:rsidRPr="00E22465" w:rsidRDefault="00494AFA" w:rsidP="00AE04A4">
            <w:pPr>
              <w:rPr>
                <w:rFonts w:ascii="Arial" w:hAnsi="Arial" w:cs="Arial"/>
                <w:sz w:val="20"/>
                <w:szCs w:val="20"/>
              </w:rPr>
            </w:pPr>
          </w:p>
        </w:tc>
        <w:tc>
          <w:tcPr>
            <w:tcW w:w="990" w:type="dxa"/>
          </w:tcPr>
          <w:p w:rsidR="00494AFA" w:rsidRDefault="00785DCA" w:rsidP="00AE04A4">
            <w:pPr>
              <w:rPr>
                <w:rFonts w:ascii="Arial" w:hAnsi="Arial" w:cs="Arial"/>
                <w:sz w:val="20"/>
                <w:szCs w:val="20"/>
              </w:rPr>
            </w:pPr>
            <w:r>
              <w:rPr>
                <w:rFonts w:ascii="Arial" w:hAnsi="Arial" w:cs="Arial"/>
                <w:sz w:val="20"/>
                <w:szCs w:val="20"/>
              </w:rPr>
              <w:t>January 2019</w:t>
            </w: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Pr="00785DCA" w:rsidRDefault="00785DCA" w:rsidP="00785DCA">
            <w:pPr>
              <w:rPr>
                <w:rFonts w:ascii="Arial" w:hAnsi="Arial" w:cs="Arial"/>
                <w:sz w:val="20"/>
                <w:szCs w:val="20"/>
              </w:rPr>
            </w:pPr>
            <w:r w:rsidRPr="00785DCA">
              <w:rPr>
                <w:rFonts w:ascii="Arial" w:hAnsi="Arial" w:cs="Arial"/>
                <w:sz w:val="20"/>
                <w:szCs w:val="20"/>
              </w:rPr>
              <w:t>January 2019</w:t>
            </w:r>
          </w:p>
          <w:p w:rsidR="00785DCA" w:rsidRPr="00785DCA" w:rsidRDefault="00785DCA" w:rsidP="00785DCA">
            <w:pPr>
              <w:rPr>
                <w:rFonts w:ascii="Arial" w:hAnsi="Arial" w:cs="Arial"/>
                <w:sz w:val="20"/>
                <w:szCs w:val="20"/>
              </w:rPr>
            </w:pPr>
          </w:p>
          <w:p w:rsidR="00785DCA" w:rsidRPr="00785DCA" w:rsidRDefault="00785DCA" w:rsidP="00785DCA">
            <w:pPr>
              <w:rPr>
                <w:rFonts w:ascii="Arial" w:hAnsi="Arial" w:cs="Arial"/>
                <w:sz w:val="20"/>
                <w:szCs w:val="20"/>
              </w:rPr>
            </w:pPr>
          </w:p>
          <w:p w:rsidR="00785DCA" w:rsidRPr="00785DCA" w:rsidRDefault="00785DCA" w:rsidP="00785DCA">
            <w:pPr>
              <w:rPr>
                <w:rFonts w:ascii="Arial" w:hAnsi="Arial" w:cs="Arial"/>
                <w:sz w:val="20"/>
                <w:szCs w:val="20"/>
              </w:rPr>
            </w:pPr>
          </w:p>
          <w:p w:rsidR="00785DCA" w:rsidRPr="00785DCA" w:rsidRDefault="00785DCA" w:rsidP="00785DCA">
            <w:pPr>
              <w:rPr>
                <w:rFonts w:ascii="Arial" w:hAnsi="Arial" w:cs="Arial"/>
                <w:sz w:val="20"/>
                <w:szCs w:val="20"/>
              </w:rPr>
            </w:pPr>
          </w:p>
          <w:p w:rsidR="00785DCA" w:rsidRPr="00785DCA" w:rsidRDefault="00785DCA" w:rsidP="00785DCA">
            <w:pPr>
              <w:rPr>
                <w:rFonts w:ascii="Arial" w:hAnsi="Arial" w:cs="Arial"/>
                <w:sz w:val="20"/>
                <w:szCs w:val="20"/>
              </w:rPr>
            </w:pPr>
          </w:p>
          <w:p w:rsidR="00785DCA" w:rsidRPr="00785DCA" w:rsidRDefault="00785DCA" w:rsidP="00785DCA">
            <w:pPr>
              <w:rPr>
                <w:rFonts w:ascii="Arial" w:hAnsi="Arial" w:cs="Arial"/>
                <w:sz w:val="20"/>
                <w:szCs w:val="20"/>
              </w:rPr>
            </w:pPr>
          </w:p>
          <w:p w:rsidR="00785DCA" w:rsidRPr="00E22465" w:rsidRDefault="00785DCA" w:rsidP="00785DCA">
            <w:pPr>
              <w:rPr>
                <w:rFonts w:ascii="Arial" w:hAnsi="Arial" w:cs="Arial"/>
                <w:sz w:val="20"/>
                <w:szCs w:val="20"/>
              </w:rPr>
            </w:pPr>
            <w:r w:rsidRPr="00785DCA">
              <w:rPr>
                <w:rFonts w:ascii="Arial" w:hAnsi="Arial" w:cs="Arial"/>
                <w:sz w:val="20"/>
                <w:szCs w:val="20"/>
              </w:rPr>
              <w:tab/>
            </w:r>
          </w:p>
        </w:tc>
        <w:tc>
          <w:tcPr>
            <w:tcW w:w="1144" w:type="dxa"/>
          </w:tcPr>
          <w:p w:rsidR="00494AFA" w:rsidRDefault="00785DCA" w:rsidP="00AE04A4">
            <w:pPr>
              <w:rPr>
                <w:rFonts w:ascii="Arial" w:hAnsi="Arial" w:cs="Arial"/>
                <w:sz w:val="20"/>
                <w:szCs w:val="20"/>
              </w:rPr>
            </w:pPr>
            <w:r>
              <w:rPr>
                <w:rFonts w:ascii="Arial" w:hAnsi="Arial" w:cs="Arial"/>
                <w:sz w:val="20"/>
                <w:szCs w:val="20"/>
              </w:rPr>
              <w:t>November 2019</w:t>
            </w: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Pr="00E22465" w:rsidRDefault="00785DCA" w:rsidP="00AE04A4">
            <w:pPr>
              <w:rPr>
                <w:rFonts w:ascii="Arial" w:hAnsi="Arial" w:cs="Arial"/>
                <w:sz w:val="20"/>
                <w:szCs w:val="20"/>
              </w:rPr>
            </w:pPr>
            <w:r w:rsidRPr="00785DCA">
              <w:rPr>
                <w:rFonts w:ascii="Arial" w:hAnsi="Arial" w:cs="Arial"/>
                <w:sz w:val="20"/>
                <w:szCs w:val="20"/>
              </w:rPr>
              <w:t>November 2019</w:t>
            </w:r>
          </w:p>
        </w:tc>
        <w:tc>
          <w:tcPr>
            <w:tcW w:w="1646" w:type="dxa"/>
          </w:tcPr>
          <w:p w:rsidR="00494AFA" w:rsidRDefault="003062F0" w:rsidP="00AE04A4">
            <w:pPr>
              <w:rPr>
                <w:rFonts w:ascii="Arial" w:hAnsi="Arial" w:cs="Arial"/>
                <w:sz w:val="20"/>
                <w:szCs w:val="20"/>
              </w:rPr>
            </w:pPr>
            <w:r w:rsidRPr="00E22465">
              <w:rPr>
                <w:rFonts w:ascii="Arial" w:hAnsi="Arial" w:cs="Arial"/>
                <w:sz w:val="20"/>
                <w:szCs w:val="20"/>
              </w:rPr>
              <w:t>Fully 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r w:rsidRPr="00E22465">
              <w:rPr>
                <w:rFonts w:ascii="Arial" w:hAnsi="Arial" w:cs="Arial"/>
                <w:sz w:val="20"/>
                <w:szCs w:val="20"/>
              </w:rPr>
              <w:t>Fully implemented</w:t>
            </w:r>
          </w:p>
          <w:p w:rsidR="00426E93" w:rsidRPr="00E22465" w:rsidRDefault="00426E93" w:rsidP="00AE04A4">
            <w:pPr>
              <w:rPr>
                <w:rFonts w:ascii="Arial" w:hAnsi="Arial" w:cs="Arial"/>
                <w:sz w:val="20"/>
                <w:szCs w:val="20"/>
              </w:rPr>
            </w:pPr>
          </w:p>
        </w:tc>
        <w:tc>
          <w:tcPr>
            <w:tcW w:w="1260" w:type="dxa"/>
          </w:tcPr>
          <w:p w:rsidR="00494AFA" w:rsidRPr="00E22465" w:rsidRDefault="00494AFA" w:rsidP="00AE04A4">
            <w:pPr>
              <w:rPr>
                <w:rFonts w:ascii="Arial" w:hAnsi="Arial" w:cs="Arial"/>
                <w:sz w:val="20"/>
                <w:szCs w:val="20"/>
              </w:rPr>
            </w:pPr>
          </w:p>
        </w:tc>
        <w:tc>
          <w:tcPr>
            <w:tcW w:w="2380" w:type="dxa"/>
          </w:tcPr>
          <w:p w:rsidR="00494AFA" w:rsidRPr="00E22465" w:rsidRDefault="00894158" w:rsidP="00AE04A4">
            <w:pPr>
              <w:rPr>
                <w:rFonts w:ascii="Arial" w:hAnsi="Arial" w:cs="Arial"/>
                <w:sz w:val="20"/>
                <w:szCs w:val="20"/>
              </w:rPr>
            </w:pPr>
            <w:r w:rsidRPr="00E22465">
              <w:rPr>
                <w:rFonts w:ascii="Arial" w:hAnsi="Arial" w:cs="Arial"/>
                <w:sz w:val="20"/>
                <w:szCs w:val="20"/>
              </w:rPr>
              <w:t>All related JEVs</w:t>
            </w:r>
            <w:r w:rsidR="00364BB2">
              <w:rPr>
                <w:rFonts w:ascii="Arial" w:hAnsi="Arial" w:cs="Arial"/>
                <w:sz w:val="20"/>
                <w:szCs w:val="20"/>
              </w:rPr>
              <w:t xml:space="preserve"> to support full compliance of </w:t>
            </w:r>
            <w:r w:rsidRPr="00E22465">
              <w:rPr>
                <w:rFonts w:ascii="Arial" w:hAnsi="Arial" w:cs="Arial"/>
                <w:sz w:val="20"/>
                <w:szCs w:val="20"/>
              </w:rPr>
              <w:t xml:space="preserve">this AOM are reflected in the attached </w:t>
            </w:r>
            <w:r w:rsidRPr="00F264A8">
              <w:rPr>
                <w:rFonts w:ascii="Arial" w:hAnsi="Arial" w:cs="Arial"/>
                <w:b/>
                <w:sz w:val="20"/>
                <w:szCs w:val="20"/>
              </w:rPr>
              <w:t>Annex 3</w:t>
            </w:r>
            <w:r w:rsidRPr="00E22465">
              <w:rPr>
                <w:rFonts w:ascii="Arial" w:hAnsi="Arial" w:cs="Arial"/>
                <w:sz w:val="20"/>
                <w:szCs w:val="20"/>
              </w:rPr>
              <w:t>.</w:t>
            </w:r>
          </w:p>
        </w:tc>
      </w:tr>
      <w:tr w:rsidR="00494AFA" w:rsidRPr="00E22465" w:rsidTr="007D01AA">
        <w:trPr>
          <w:trHeight w:val="332"/>
        </w:trPr>
        <w:tc>
          <w:tcPr>
            <w:tcW w:w="648" w:type="dxa"/>
          </w:tcPr>
          <w:p w:rsidR="00494AFA" w:rsidRPr="00E22465" w:rsidRDefault="00AD6246" w:rsidP="00AD6246">
            <w:pPr>
              <w:jc w:val="center"/>
              <w:rPr>
                <w:rFonts w:ascii="Arial" w:hAnsi="Arial" w:cs="Arial"/>
                <w:b/>
                <w:sz w:val="20"/>
                <w:szCs w:val="20"/>
              </w:rPr>
            </w:pPr>
            <w:r w:rsidRPr="00E22465">
              <w:rPr>
                <w:rFonts w:ascii="Arial" w:hAnsi="Arial" w:cs="Arial"/>
                <w:b/>
                <w:sz w:val="20"/>
                <w:szCs w:val="20"/>
              </w:rPr>
              <w:t>4</w:t>
            </w:r>
          </w:p>
        </w:tc>
        <w:tc>
          <w:tcPr>
            <w:tcW w:w="3294" w:type="dxa"/>
          </w:tcPr>
          <w:p w:rsidR="00494AFA" w:rsidRPr="00E22465" w:rsidRDefault="00D45AB7" w:rsidP="00AE04A4">
            <w:pPr>
              <w:rPr>
                <w:rFonts w:ascii="Arial" w:hAnsi="Arial" w:cs="Arial"/>
                <w:sz w:val="20"/>
                <w:szCs w:val="20"/>
              </w:rPr>
            </w:pPr>
            <w:r w:rsidRPr="00E22465">
              <w:rPr>
                <w:rFonts w:ascii="Arial" w:hAnsi="Arial" w:cs="Arial"/>
                <w:sz w:val="20"/>
                <w:szCs w:val="20"/>
              </w:rPr>
              <w:t>Reconciling items totaling P7.906 million representing unidentified deposits/collections from January 2017 to December 2018 were not adjusted in the books, which resulted in the understatement of the Cash in Bank account and overstatement of receivable and other affected accounts as at December 31, 2018 by the same amount.</w:t>
            </w:r>
          </w:p>
        </w:tc>
        <w:tc>
          <w:tcPr>
            <w:tcW w:w="3060" w:type="dxa"/>
          </w:tcPr>
          <w:p w:rsidR="000D42BF" w:rsidRPr="00E22465" w:rsidRDefault="000D42BF" w:rsidP="000D42BF">
            <w:pPr>
              <w:rPr>
                <w:rFonts w:ascii="Arial" w:hAnsi="Arial" w:cs="Arial"/>
                <w:sz w:val="20"/>
                <w:szCs w:val="20"/>
              </w:rPr>
            </w:pPr>
            <w:r w:rsidRPr="00E22465">
              <w:rPr>
                <w:rFonts w:ascii="Arial" w:hAnsi="Arial" w:cs="Arial"/>
                <w:sz w:val="20"/>
                <w:szCs w:val="20"/>
              </w:rPr>
              <w:t>We recommended that Management:</w:t>
            </w:r>
          </w:p>
          <w:p w:rsidR="000D42BF" w:rsidRPr="00E22465" w:rsidRDefault="000D42BF" w:rsidP="000D42BF">
            <w:pPr>
              <w:rPr>
                <w:rFonts w:ascii="Arial" w:hAnsi="Arial" w:cs="Arial"/>
                <w:sz w:val="20"/>
                <w:szCs w:val="20"/>
              </w:rPr>
            </w:pPr>
            <w:r w:rsidRPr="00E22465">
              <w:rPr>
                <w:rFonts w:ascii="Arial" w:hAnsi="Arial" w:cs="Arial"/>
                <w:sz w:val="20"/>
                <w:szCs w:val="20"/>
              </w:rPr>
              <w:t xml:space="preserve"> </w:t>
            </w:r>
          </w:p>
          <w:p w:rsidR="000D42BF" w:rsidRPr="00E22465" w:rsidRDefault="000D42BF" w:rsidP="000D42BF">
            <w:pPr>
              <w:rPr>
                <w:rFonts w:ascii="Arial" w:hAnsi="Arial" w:cs="Arial"/>
                <w:sz w:val="20"/>
                <w:szCs w:val="20"/>
              </w:rPr>
            </w:pPr>
            <w:r w:rsidRPr="00E22465">
              <w:rPr>
                <w:rFonts w:ascii="Arial" w:hAnsi="Arial" w:cs="Arial"/>
                <w:sz w:val="20"/>
                <w:szCs w:val="20"/>
              </w:rPr>
              <w:t>a. Require the Accounting Division to:</w:t>
            </w:r>
          </w:p>
          <w:p w:rsidR="00734BB0" w:rsidRDefault="000D42BF" w:rsidP="000D42BF">
            <w:pPr>
              <w:rPr>
                <w:rFonts w:ascii="Arial" w:hAnsi="Arial" w:cs="Arial"/>
                <w:sz w:val="20"/>
                <w:szCs w:val="20"/>
              </w:rPr>
            </w:pPr>
            <w:r w:rsidRPr="00E22465">
              <w:rPr>
                <w:rFonts w:ascii="Arial" w:hAnsi="Arial" w:cs="Arial"/>
                <w:sz w:val="20"/>
                <w:szCs w:val="20"/>
              </w:rPr>
              <w:t xml:space="preserve">    </w:t>
            </w:r>
          </w:p>
          <w:p w:rsidR="000D42BF" w:rsidRDefault="00734BB0" w:rsidP="000D42BF">
            <w:pPr>
              <w:rPr>
                <w:rFonts w:ascii="Arial" w:hAnsi="Arial" w:cs="Arial"/>
                <w:sz w:val="20"/>
                <w:szCs w:val="20"/>
              </w:rPr>
            </w:pPr>
            <w:r>
              <w:rPr>
                <w:rFonts w:ascii="Arial" w:hAnsi="Arial" w:cs="Arial"/>
                <w:sz w:val="20"/>
                <w:szCs w:val="20"/>
              </w:rPr>
              <w:t xml:space="preserve">    </w:t>
            </w:r>
            <w:r w:rsidR="000D42BF" w:rsidRPr="00E22465">
              <w:rPr>
                <w:rFonts w:ascii="Arial" w:hAnsi="Arial" w:cs="Arial"/>
                <w:sz w:val="20"/>
                <w:szCs w:val="20"/>
              </w:rPr>
              <w:t xml:space="preserve">a.1 Record the unidentified collections in the books of accounts in accordance with the RCA for Government-Owned and Controlled Corporations prescribed under COA    Circular No. 2015-010 dated December 1, 2015; and </w:t>
            </w:r>
          </w:p>
          <w:p w:rsidR="00426E93" w:rsidRPr="00E22465" w:rsidRDefault="00426E93" w:rsidP="000D42BF">
            <w:pPr>
              <w:rPr>
                <w:rFonts w:ascii="Arial" w:hAnsi="Arial" w:cs="Arial"/>
                <w:sz w:val="20"/>
                <w:szCs w:val="20"/>
              </w:rPr>
            </w:pPr>
          </w:p>
          <w:p w:rsidR="000D42BF" w:rsidRPr="00E22465" w:rsidRDefault="000D42BF" w:rsidP="000D42BF">
            <w:pPr>
              <w:rPr>
                <w:rFonts w:ascii="Arial" w:hAnsi="Arial" w:cs="Arial"/>
                <w:sz w:val="20"/>
                <w:szCs w:val="20"/>
              </w:rPr>
            </w:pPr>
            <w:r w:rsidRPr="00E22465">
              <w:rPr>
                <w:rFonts w:ascii="Arial" w:hAnsi="Arial" w:cs="Arial"/>
                <w:sz w:val="20"/>
                <w:szCs w:val="20"/>
              </w:rPr>
              <w:t xml:space="preserve">    a.2 With the assistance of the Centers, exert all efforts to determine the unidentified deposits/collections as reflected in the bank statement and make </w:t>
            </w:r>
            <w:r w:rsidRPr="00E22465">
              <w:rPr>
                <w:rFonts w:ascii="Arial" w:hAnsi="Arial" w:cs="Arial"/>
                <w:sz w:val="20"/>
                <w:szCs w:val="20"/>
              </w:rPr>
              <w:lastRenderedPageBreak/>
              <w:t>the necessary adjusting entries in the books;</w:t>
            </w:r>
          </w:p>
          <w:p w:rsidR="000D42BF" w:rsidRPr="00E22465" w:rsidRDefault="000D42BF" w:rsidP="000D42BF">
            <w:pPr>
              <w:rPr>
                <w:rFonts w:ascii="Arial" w:hAnsi="Arial" w:cs="Arial"/>
                <w:sz w:val="20"/>
                <w:szCs w:val="20"/>
              </w:rPr>
            </w:pPr>
            <w:r w:rsidRPr="00E22465">
              <w:rPr>
                <w:rFonts w:ascii="Arial" w:hAnsi="Arial" w:cs="Arial"/>
                <w:sz w:val="20"/>
                <w:szCs w:val="20"/>
              </w:rPr>
              <w:t xml:space="preserve"> </w:t>
            </w:r>
          </w:p>
          <w:p w:rsidR="000D42BF" w:rsidRPr="00E22465" w:rsidRDefault="000D42BF" w:rsidP="000D42BF">
            <w:pPr>
              <w:rPr>
                <w:rFonts w:ascii="Arial" w:hAnsi="Arial" w:cs="Arial"/>
                <w:sz w:val="20"/>
                <w:szCs w:val="20"/>
              </w:rPr>
            </w:pPr>
            <w:r w:rsidRPr="00E22465">
              <w:rPr>
                <w:rFonts w:ascii="Arial" w:hAnsi="Arial" w:cs="Arial"/>
                <w:sz w:val="20"/>
                <w:szCs w:val="20"/>
              </w:rPr>
              <w:t>b. Direct the Centers to advise clients to promptly reconcile past and future payments made through the bank to facilitate reconciliation of records and accurate reporting of collections; and</w:t>
            </w:r>
          </w:p>
          <w:p w:rsidR="000D42BF" w:rsidRPr="00E22465" w:rsidRDefault="000D42BF" w:rsidP="000D42BF">
            <w:pPr>
              <w:rPr>
                <w:rFonts w:ascii="Arial" w:hAnsi="Arial" w:cs="Arial"/>
                <w:sz w:val="20"/>
                <w:szCs w:val="20"/>
              </w:rPr>
            </w:pPr>
          </w:p>
          <w:p w:rsidR="00494AFA" w:rsidRPr="00E22465" w:rsidRDefault="000D42BF" w:rsidP="000D42BF">
            <w:pPr>
              <w:rPr>
                <w:rFonts w:ascii="Arial" w:hAnsi="Arial" w:cs="Arial"/>
                <w:sz w:val="20"/>
                <w:szCs w:val="20"/>
              </w:rPr>
            </w:pPr>
            <w:r w:rsidRPr="00E22465">
              <w:rPr>
                <w:rFonts w:ascii="Arial" w:hAnsi="Arial" w:cs="Arial"/>
                <w:sz w:val="20"/>
                <w:szCs w:val="20"/>
              </w:rPr>
              <w:t>c. Make timely representations with the concerned depository bank for the identification of depositors to hasten the recording in the books of the unidentified collections.</w:t>
            </w:r>
          </w:p>
        </w:tc>
        <w:tc>
          <w:tcPr>
            <w:tcW w:w="1350" w:type="dxa"/>
          </w:tcPr>
          <w:p w:rsidR="00494AFA" w:rsidRPr="00E22465" w:rsidRDefault="00494AFA" w:rsidP="00AE04A4">
            <w:pPr>
              <w:rPr>
                <w:rFonts w:ascii="Arial" w:hAnsi="Arial" w:cs="Arial"/>
                <w:sz w:val="20"/>
                <w:szCs w:val="20"/>
              </w:rPr>
            </w:pPr>
          </w:p>
        </w:tc>
        <w:tc>
          <w:tcPr>
            <w:tcW w:w="1530" w:type="dxa"/>
          </w:tcPr>
          <w:p w:rsidR="00494AFA" w:rsidRPr="00E22465" w:rsidRDefault="00494AFA" w:rsidP="00AE04A4">
            <w:pPr>
              <w:rPr>
                <w:rFonts w:ascii="Arial" w:hAnsi="Arial" w:cs="Arial"/>
                <w:sz w:val="20"/>
                <w:szCs w:val="20"/>
              </w:rPr>
            </w:pPr>
          </w:p>
        </w:tc>
        <w:tc>
          <w:tcPr>
            <w:tcW w:w="990" w:type="dxa"/>
          </w:tcPr>
          <w:p w:rsidR="00494AFA" w:rsidRDefault="00494AF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785DCA" w:rsidP="00AE04A4">
            <w:pPr>
              <w:rPr>
                <w:rFonts w:ascii="Arial" w:hAnsi="Arial" w:cs="Arial"/>
                <w:sz w:val="20"/>
                <w:szCs w:val="20"/>
              </w:rPr>
            </w:pPr>
          </w:p>
          <w:p w:rsidR="00785DCA" w:rsidRDefault="00933C54" w:rsidP="00AE04A4">
            <w:pPr>
              <w:rPr>
                <w:rFonts w:ascii="Arial" w:hAnsi="Arial" w:cs="Arial"/>
                <w:sz w:val="20"/>
                <w:szCs w:val="20"/>
              </w:rPr>
            </w:pPr>
            <w:r>
              <w:rPr>
                <w:rFonts w:ascii="Arial" w:hAnsi="Arial" w:cs="Arial"/>
                <w:sz w:val="20"/>
                <w:szCs w:val="20"/>
              </w:rPr>
              <w:t>January 2019</w:t>
            </w: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933C54">
            <w:pPr>
              <w:rPr>
                <w:rFonts w:ascii="Arial" w:hAnsi="Arial" w:cs="Arial"/>
                <w:sz w:val="20"/>
                <w:szCs w:val="20"/>
              </w:rPr>
            </w:pPr>
            <w:r>
              <w:rPr>
                <w:rFonts w:ascii="Arial" w:hAnsi="Arial" w:cs="Arial"/>
                <w:sz w:val="20"/>
                <w:szCs w:val="20"/>
              </w:rPr>
              <w:t>January 2019</w:t>
            </w: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Pr="00E22465" w:rsidRDefault="00933C54" w:rsidP="00AE04A4">
            <w:pPr>
              <w:rPr>
                <w:rFonts w:ascii="Arial" w:hAnsi="Arial" w:cs="Arial"/>
                <w:sz w:val="20"/>
                <w:szCs w:val="20"/>
              </w:rPr>
            </w:pPr>
            <w:r>
              <w:rPr>
                <w:rFonts w:ascii="Arial" w:hAnsi="Arial" w:cs="Arial"/>
                <w:sz w:val="20"/>
                <w:szCs w:val="20"/>
              </w:rPr>
              <w:t>January 2019</w:t>
            </w:r>
          </w:p>
        </w:tc>
        <w:tc>
          <w:tcPr>
            <w:tcW w:w="1144" w:type="dxa"/>
          </w:tcPr>
          <w:p w:rsidR="00494AFA" w:rsidRDefault="00494AFA"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r>
              <w:rPr>
                <w:rFonts w:ascii="Arial" w:hAnsi="Arial" w:cs="Arial"/>
                <w:sz w:val="20"/>
                <w:szCs w:val="20"/>
              </w:rPr>
              <w:t>Sept. 2019</w:t>
            </w: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r>
              <w:rPr>
                <w:rFonts w:ascii="Arial" w:hAnsi="Arial" w:cs="Arial"/>
                <w:sz w:val="20"/>
                <w:szCs w:val="20"/>
              </w:rPr>
              <w:t>Sept. 2019</w:t>
            </w: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Default="00933C54" w:rsidP="00AE04A4">
            <w:pPr>
              <w:rPr>
                <w:rFonts w:ascii="Arial" w:hAnsi="Arial" w:cs="Arial"/>
                <w:sz w:val="20"/>
                <w:szCs w:val="20"/>
              </w:rPr>
            </w:pPr>
          </w:p>
          <w:p w:rsidR="00933C54" w:rsidRPr="00E22465" w:rsidRDefault="00933C54" w:rsidP="00AE04A4">
            <w:pPr>
              <w:rPr>
                <w:rFonts w:ascii="Arial" w:hAnsi="Arial" w:cs="Arial"/>
                <w:sz w:val="20"/>
                <w:szCs w:val="20"/>
              </w:rPr>
            </w:pPr>
            <w:r>
              <w:rPr>
                <w:rFonts w:ascii="Arial" w:hAnsi="Arial" w:cs="Arial"/>
                <w:sz w:val="20"/>
                <w:szCs w:val="20"/>
              </w:rPr>
              <w:t>December 2019</w:t>
            </w:r>
          </w:p>
        </w:tc>
        <w:tc>
          <w:tcPr>
            <w:tcW w:w="1646" w:type="dxa"/>
          </w:tcPr>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734BB0" w:rsidRDefault="00734BB0" w:rsidP="00AE04A4">
            <w:pPr>
              <w:rPr>
                <w:rFonts w:ascii="Arial" w:hAnsi="Arial" w:cs="Arial"/>
                <w:sz w:val="20"/>
                <w:szCs w:val="20"/>
              </w:rPr>
            </w:pPr>
          </w:p>
          <w:p w:rsidR="00494AFA" w:rsidRDefault="003062F0" w:rsidP="00AE04A4">
            <w:pPr>
              <w:rPr>
                <w:rFonts w:ascii="Arial" w:hAnsi="Arial" w:cs="Arial"/>
                <w:sz w:val="20"/>
                <w:szCs w:val="20"/>
              </w:rPr>
            </w:pPr>
            <w:r w:rsidRPr="00E22465">
              <w:rPr>
                <w:rFonts w:ascii="Arial" w:hAnsi="Arial" w:cs="Arial"/>
                <w:sz w:val="20"/>
                <w:szCs w:val="20"/>
              </w:rPr>
              <w:t>Fully 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r w:rsidRPr="00E22465">
              <w:rPr>
                <w:rFonts w:ascii="Arial" w:hAnsi="Arial" w:cs="Arial"/>
                <w:sz w:val="20"/>
                <w:szCs w:val="20"/>
              </w:rPr>
              <w:t>Fully 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r w:rsidRPr="00E22465">
              <w:rPr>
                <w:rFonts w:ascii="Arial" w:hAnsi="Arial" w:cs="Arial"/>
                <w:sz w:val="20"/>
                <w:szCs w:val="20"/>
              </w:rPr>
              <w:t>Fully 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Pr="00E22465" w:rsidRDefault="00426E93" w:rsidP="00AE04A4">
            <w:pPr>
              <w:rPr>
                <w:rFonts w:ascii="Arial" w:hAnsi="Arial" w:cs="Arial"/>
                <w:sz w:val="20"/>
                <w:szCs w:val="20"/>
              </w:rPr>
            </w:pPr>
            <w:r w:rsidRPr="00E22465">
              <w:rPr>
                <w:rFonts w:ascii="Arial" w:hAnsi="Arial" w:cs="Arial"/>
                <w:sz w:val="20"/>
                <w:szCs w:val="20"/>
              </w:rPr>
              <w:t>Fully implemented</w:t>
            </w:r>
          </w:p>
        </w:tc>
        <w:tc>
          <w:tcPr>
            <w:tcW w:w="1260" w:type="dxa"/>
          </w:tcPr>
          <w:p w:rsidR="00494AFA" w:rsidRPr="00E22465" w:rsidRDefault="00494AFA" w:rsidP="00AE04A4">
            <w:pPr>
              <w:rPr>
                <w:rFonts w:ascii="Arial" w:hAnsi="Arial" w:cs="Arial"/>
                <w:sz w:val="20"/>
                <w:szCs w:val="20"/>
              </w:rPr>
            </w:pPr>
          </w:p>
        </w:tc>
        <w:tc>
          <w:tcPr>
            <w:tcW w:w="2380" w:type="dxa"/>
          </w:tcPr>
          <w:p w:rsidR="00494AFA" w:rsidRPr="00E22465" w:rsidRDefault="00894158" w:rsidP="00364BB2">
            <w:pPr>
              <w:rPr>
                <w:rFonts w:ascii="Arial" w:hAnsi="Arial" w:cs="Arial"/>
                <w:sz w:val="20"/>
                <w:szCs w:val="20"/>
              </w:rPr>
            </w:pPr>
            <w:r w:rsidRPr="00E22465">
              <w:rPr>
                <w:rFonts w:ascii="Arial" w:hAnsi="Arial" w:cs="Arial"/>
                <w:sz w:val="20"/>
                <w:szCs w:val="20"/>
              </w:rPr>
              <w:t>Of the total amount of ₱7,905,814.23 as of 31 December 2018, stated in this AOM, a total of ₱7,045,693.19) has been identified and recorded in the books of accounts from January 2019 to November 2019. The details of the r</w:t>
            </w:r>
            <w:r w:rsidR="00364BB2">
              <w:rPr>
                <w:rFonts w:ascii="Arial" w:hAnsi="Arial" w:cs="Arial"/>
                <w:sz w:val="20"/>
                <w:szCs w:val="20"/>
              </w:rPr>
              <w:t>emaining balance of ₱860,121.04</w:t>
            </w:r>
            <w:r w:rsidRPr="00E22465">
              <w:rPr>
                <w:rFonts w:ascii="Arial" w:hAnsi="Arial" w:cs="Arial"/>
                <w:sz w:val="20"/>
                <w:szCs w:val="20"/>
              </w:rPr>
              <w:t xml:space="preserve"> is </w:t>
            </w:r>
            <w:proofErr w:type="gramStart"/>
            <w:r w:rsidRPr="00E22465">
              <w:rPr>
                <w:rFonts w:ascii="Arial" w:hAnsi="Arial" w:cs="Arial"/>
                <w:sz w:val="20"/>
                <w:szCs w:val="20"/>
              </w:rPr>
              <w:t>still  under</w:t>
            </w:r>
            <w:proofErr w:type="gramEnd"/>
            <w:r w:rsidRPr="00E22465">
              <w:rPr>
                <w:rFonts w:ascii="Arial" w:hAnsi="Arial" w:cs="Arial"/>
                <w:sz w:val="20"/>
                <w:szCs w:val="20"/>
              </w:rPr>
              <w:t xml:space="preserve"> the  “Undistributed Collections” account attached as </w:t>
            </w:r>
            <w:r w:rsidRPr="00F264A8">
              <w:rPr>
                <w:rFonts w:ascii="Arial" w:hAnsi="Arial" w:cs="Arial"/>
                <w:b/>
                <w:sz w:val="20"/>
                <w:szCs w:val="20"/>
              </w:rPr>
              <w:t>Annex 4</w:t>
            </w:r>
            <w:r w:rsidRPr="00E22465">
              <w:rPr>
                <w:rFonts w:ascii="Arial" w:hAnsi="Arial" w:cs="Arial"/>
                <w:sz w:val="20"/>
                <w:szCs w:val="20"/>
              </w:rPr>
              <w:t>.</w:t>
            </w:r>
          </w:p>
        </w:tc>
      </w:tr>
      <w:tr w:rsidR="00494AFA" w:rsidRPr="00E22465" w:rsidTr="007D01AA">
        <w:tc>
          <w:tcPr>
            <w:tcW w:w="648" w:type="dxa"/>
          </w:tcPr>
          <w:p w:rsidR="00494AFA" w:rsidRPr="00E22465" w:rsidRDefault="00AD6246" w:rsidP="00AD6246">
            <w:pPr>
              <w:jc w:val="center"/>
              <w:rPr>
                <w:rFonts w:ascii="Arial" w:hAnsi="Arial" w:cs="Arial"/>
                <w:b/>
                <w:sz w:val="20"/>
                <w:szCs w:val="20"/>
              </w:rPr>
            </w:pPr>
            <w:r w:rsidRPr="00E22465">
              <w:rPr>
                <w:rFonts w:ascii="Arial" w:hAnsi="Arial" w:cs="Arial"/>
                <w:b/>
                <w:sz w:val="20"/>
                <w:szCs w:val="20"/>
              </w:rPr>
              <w:lastRenderedPageBreak/>
              <w:t>5</w:t>
            </w:r>
          </w:p>
        </w:tc>
        <w:tc>
          <w:tcPr>
            <w:tcW w:w="3294" w:type="dxa"/>
          </w:tcPr>
          <w:p w:rsidR="00494AFA" w:rsidRPr="00E22465" w:rsidRDefault="000D42BF" w:rsidP="00AE04A4">
            <w:pPr>
              <w:rPr>
                <w:rFonts w:ascii="Arial" w:hAnsi="Arial" w:cs="Arial"/>
                <w:sz w:val="20"/>
                <w:szCs w:val="20"/>
              </w:rPr>
            </w:pPr>
            <w:r w:rsidRPr="00E22465">
              <w:rPr>
                <w:rFonts w:ascii="Arial" w:hAnsi="Arial" w:cs="Arial"/>
                <w:sz w:val="20"/>
                <w:szCs w:val="20"/>
              </w:rPr>
              <w:t>The year-end balance of the Due to National Government Agency (NGA) in the amount of P469.570 was doubtful due to variance amounting to P38.545 million in the results of confirmation, contrary to Paragraph 27 of the Philippine Public Sector Accounting Standard (PPSAS) 1.</w:t>
            </w:r>
          </w:p>
        </w:tc>
        <w:tc>
          <w:tcPr>
            <w:tcW w:w="3060" w:type="dxa"/>
          </w:tcPr>
          <w:p w:rsidR="00494AFA" w:rsidRPr="00E22465" w:rsidRDefault="000D42BF" w:rsidP="00AE04A4">
            <w:pPr>
              <w:rPr>
                <w:rFonts w:ascii="Arial" w:hAnsi="Arial" w:cs="Arial"/>
                <w:sz w:val="20"/>
                <w:szCs w:val="20"/>
              </w:rPr>
            </w:pPr>
            <w:r w:rsidRPr="00E22465">
              <w:rPr>
                <w:rFonts w:ascii="Arial" w:hAnsi="Arial" w:cs="Arial"/>
                <w:sz w:val="20"/>
                <w:szCs w:val="20"/>
              </w:rPr>
              <w:t>We recommended that Management require the Accounting Division to exert all efforts to reconcile their records with the concerned agencies’ records, and make the necessary adjustments to arrive at reconciled balances.</w:t>
            </w:r>
          </w:p>
        </w:tc>
        <w:tc>
          <w:tcPr>
            <w:tcW w:w="1350" w:type="dxa"/>
          </w:tcPr>
          <w:p w:rsidR="00494AFA" w:rsidRPr="00E22465" w:rsidRDefault="00494AFA" w:rsidP="00AE04A4">
            <w:pPr>
              <w:rPr>
                <w:rFonts w:ascii="Arial" w:hAnsi="Arial" w:cs="Arial"/>
                <w:sz w:val="20"/>
                <w:szCs w:val="20"/>
              </w:rPr>
            </w:pPr>
          </w:p>
        </w:tc>
        <w:tc>
          <w:tcPr>
            <w:tcW w:w="1530" w:type="dxa"/>
          </w:tcPr>
          <w:p w:rsidR="00494AFA" w:rsidRPr="00E22465" w:rsidRDefault="00494AFA" w:rsidP="00AE04A4">
            <w:pPr>
              <w:rPr>
                <w:rFonts w:ascii="Arial" w:hAnsi="Arial" w:cs="Arial"/>
                <w:sz w:val="20"/>
                <w:szCs w:val="20"/>
              </w:rPr>
            </w:pPr>
          </w:p>
        </w:tc>
        <w:tc>
          <w:tcPr>
            <w:tcW w:w="990" w:type="dxa"/>
          </w:tcPr>
          <w:p w:rsidR="00494AFA" w:rsidRPr="00E22465" w:rsidRDefault="004D6EF0" w:rsidP="00AE04A4">
            <w:pPr>
              <w:rPr>
                <w:rFonts w:ascii="Arial" w:hAnsi="Arial" w:cs="Arial"/>
                <w:sz w:val="20"/>
                <w:szCs w:val="20"/>
              </w:rPr>
            </w:pPr>
            <w:r>
              <w:rPr>
                <w:rFonts w:ascii="Arial" w:hAnsi="Arial" w:cs="Arial"/>
                <w:sz w:val="20"/>
                <w:szCs w:val="20"/>
              </w:rPr>
              <w:t>January 2019</w:t>
            </w:r>
          </w:p>
        </w:tc>
        <w:tc>
          <w:tcPr>
            <w:tcW w:w="1144" w:type="dxa"/>
          </w:tcPr>
          <w:p w:rsidR="00494AFA" w:rsidRPr="00E22465" w:rsidRDefault="004D6EF0" w:rsidP="00AE04A4">
            <w:pPr>
              <w:rPr>
                <w:rFonts w:ascii="Arial" w:hAnsi="Arial" w:cs="Arial"/>
                <w:sz w:val="20"/>
                <w:szCs w:val="20"/>
              </w:rPr>
            </w:pPr>
            <w:r>
              <w:rPr>
                <w:rFonts w:ascii="Arial" w:hAnsi="Arial" w:cs="Arial"/>
                <w:sz w:val="20"/>
                <w:szCs w:val="20"/>
              </w:rPr>
              <w:t>December 2019</w:t>
            </w:r>
          </w:p>
        </w:tc>
        <w:tc>
          <w:tcPr>
            <w:tcW w:w="1646" w:type="dxa"/>
          </w:tcPr>
          <w:p w:rsidR="00494AFA" w:rsidRPr="00E22465" w:rsidRDefault="003062F0" w:rsidP="00AE04A4">
            <w:pPr>
              <w:rPr>
                <w:rFonts w:ascii="Arial" w:hAnsi="Arial" w:cs="Arial"/>
                <w:sz w:val="20"/>
                <w:szCs w:val="20"/>
              </w:rPr>
            </w:pPr>
            <w:r w:rsidRPr="00E22465">
              <w:rPr>
                <w:rFonts w:ascii="Arial" w:hAnsi="Arial" w:cs="Arial"/>
                <w:sz w:val="20"/>
                <w:szCs w:val="20"/>
              </w:rPr>
              <w:t>Fully implemented</w:t>
            </w:r>
          </w:p>
        </w:tc>
        <w:tc>
          <w:tcPr>
            <w:tcW w:w="1260" w:type="dxa"/>
          </w:tcPr>
          <w:p w:rsidR="00494AFA" w:rsidRPr="00E22465" w:rsidRDefault="00494AFA" w:rsidP="00AE04A4">
            <w:pPr>
              <w:rPr>
                <w:rFonts w:ascii="Arial" w:hAnsi="Arial" w:cs="Arial"/>
                <w:sz w:val="20"/>
                <w:szCs w:val="20"/>
              </w:rPr>
            </w:pPr>
          </w:p>
        </w:tc>
        <w:tc>
          <w:tcPr>
            <w:tcW w:w="2380" w:type="dxa"/>
          </w:tcPr>
          <w:p w:rsidR="00494AFA" w:rsidRPr="00E22465" w:rsidRDefault="00894158" w:rsidP="00AE04A4">
            <w:pPr>
              <w:rPr>
                <w:rFonts w:ascii="Arial" w:hAnsi="Arial" w:cs="Arial"/>
                <w:sz w:val="20"/>
                <w:szCs w:val="20"/>
              </w:rPr>
            </w:pPr>
            <w:r w:rsidRPr="00E22465">
              <w:rPr>
                <w:rFonts w:ascii="Arial" w:hAnsi="Arial" w:cs="Arial"/>
                <w:sz w:val="20"/>
                <w:szCs w:val="20"/>
              </w:rPr>
              <w:t xml:space="preserve">Attached is </w:t>
            </w:r>
            <w:r w:rsidRPr="001A6F42">
              <w:rPr>
                <w:rFonts w:ascii="Arial" w:hAnsi="Arial" w:cs="Arial"/>
                <w:b/>
                <w:sz w:val="20"/>
                <w:szCs w:val="20"/>
              </w:rPr>
              <w:t>Annex 5</w:t>
            </w:r>
            <w:r w:rsidRPr="00E22465">
              <w:rPr>
                <w:rFonts w:ascii="Arial" w:hAnsi="Arial" w:cs="Arial"/>
                <w:sz w:val="20"/>
                <w:szCs w:val="20"/>
              </w:rPr>
              <w:t xml:space="preserve"> stating the reasons for the </w:t>
            </w:r>
            <w:proofErr w:type="gramStart"/>
            <w:r w:rsidRPr="00E22465">
              <w:rPr>
                <w:rFonts w:ascii="Arial" w:hAnsi="Arial" w:cs="Arial"/>
                <w:sz w:val="20"/>
                <w:szCs w:val="20"/>
              </w:rPr>
              <w:t>discrepancies.</w:t>
            </w:r>
            <w:proofErr w:type="gramEnd"/>
          </w:p>
        </w:tc>
      </w:tr>
      <w:tr w:rsidR="003062F0" w:rsidRPr="00E22465" w:rsidTr="007D01AA">
        <w:tc>
          <w:tcPr>
            <w:tcW w:w="648" w:type="dxa"/>
          </w:tcPr>
          <w:p w:rsidR="003062F0" w:rsidRPr="00E22465" w:rsidRDefault="003062F0" w:rsidP="003062F0">
            <w:pPr>
              <w:jc w:val="center"/>
              <w:rPr>
                <w:rFonts w:ascii="Arial" w:hAnsi="Arial" w:cs="Arial"/>
                <w:b/>
                <w:sz w:val="20"/>
                <w:szCs w:val="20"/>
              </w:rPr>
            </w:pPr>
            <w:r w:rsidRPr="00E22465">
              <w:rPr>
                <w:rFonts w:ascii="Arial" w:hAnsi="Arial" w:cs="Arial"/>
                <w:b/>
                <w:sz w:val="20"/>
                <w:szCs w:val="20"/>
              </w:rPr>
              <w:t>6</w:t>
            </w:r>
          </w:p>
        </w:tc>
        <w:tc>
          <w:tcPr>
            <w:tcW w:w="3294" w:type="dxa"/>
          </w:tcPr>
          <w:p w:rsidR="003062F0" w:rsidRPr="00E22465" w:rsidRDefault="009E64F5" w:rsidP="00AE04A4">
            <w:pPr>
              <w:rPr>
                <w:rFonts w:ascii="Arial" w:hAnsi="Arial" w:cs="Arial"/>
                <w:sz w:val="20"/>
                <w:szCs w:val="20"/>
              </w:rPr>
            </w:pPr>
            <w:r w:rsidRPr="00E22465">
              <w:rPr>
                <w:rFonts w:ascii="Arial" w:hAnsi="Arial" w:cs="Arial"/>
                <w:sz w:val="20"/>
                <w:szCs w:val="20"/>
              </w:rPr>
              <w:t xml:space="preserve">The balances of the Due to National Government Agency (NGA) - Aurora e-Village Project account with negative (abnormal) balance of P2.008 million and the Cash in Bank - Local Currency, Current Account - Aurora e-Village Project of P468,586 as at December 31, 2018 were doubtful due to, among others, variance of P5.640 million between the books of DAP and the Source Agency as a result of confirmation and  discrepancies in the records of the Accounting Division and Productivity and Development </w:t>
            </w:r>
            <w:r w:rsidRPr="00E22465">
              <w:rPr>
                <w:rFonts w:ascii="Arial" w:hAnsi="Arial" w:cs="Arial"/>
                <w:sz w:val="20"/>
                <w:szCs w:val="20"/>
              </w:rPr>
              <w:lastRenderedPageBreak/>
              <w:t>Center.</w:t>
            </w:r>
          </w:p>
        </w:tc>
        <w:tc>
          <w:tcPr>
            <w:tcW w:w="3060" w:type="dxa"/>
          </w:tcPr>
          <w:p w:rsidR="009E64F5" w:rsidRPr="00E22465" w:rsidRDefault="009E64F5" w:rsidP="009E64F5">
            <w:pPr>
              <w:rPr>
                <w:rFonts w:ascii="Arial" w:hAnsi="Arial" w:cs="Arial"/>
                <w:sz w:val="20"/>
                <w:szCs w:val="20"/>
              </w:rPr>
            </w:pPr>
            <w:r w:rsidRPr="00E22465">
              <w:rPr>
                <w:rFonts w:ascii="Arial" w:hAnsi="Arial" w:cs="Arial"/>
                <w:sz w:val="20"/>
                <w:szCs w:val="20"/>
              </w:rPr>
              <w:lastRenderedPageBreak/>
              <w:t>We recommended that Management direct the Accounting Division to:</w:t>
            </w:r>
          </w:p>
          <w:p w:rsidR="009E64F5" w:rsidRPr="00E22465" w:rsidRDefault="009E64F5" w:rsidP="009E64F5">
            <w:pPr>
              <w:rPr>
                <w:rFonts w:ascii="Arial" w:hAnsi="Arial" w:cs="Arial"/>
                <w:sz w:val="20"/>
                <w:szCs w:val="20"/>
              </w:rPr>
            </w:pPr>
          </w:p>
          <w:p w:rsidR="009E64F5" w:rsidRPr="00E22465" w:rsidRDefault="009E64F5" w:rsidP="009E64F5">
            <w:pPr>
              <w:rPr>
                <w:rFonts w:ascii="Arial" w:hAnsi="Arial" w:cs="Arial"/>
                <w:sz w:val="20"/>
                <w:szCs w:val="20"/>
              </w:rPr>
            </w:pPr>
            <w:r w:rsidRPr="00E22465">
              <w:rPr>
                <w:rFonts w:ascii="Arial" w:hAnsi="Arial" w:cs="Arial"/>
                <w:sz w:val="20"/>
                <w:szCs w:val="20"/>
              </w:rPr>
              <w:t>a. Analyze the negative (abnormal) balance of the Due to NGA-Aurora e-Village Project account and effect necessary adjustments in the books;</w:t>
            </w:r>
          </w:p>
          <w:p w:rsidR="009E64F5" w:rsidRPr="00E22465" w:rsidRDefault="009E64F5" w:rsidP="009E64F5">
            <w:pPr>
              <w:rPr>
                <w:rFonts w:ascii="Arial" w:hAnsi="Arial" w:cs="Arial"/>
                <w:sz w:val="20"/>
                <w:szCs w:val="20"/>
              </w:rPr>
            </w:pPr>
          </w:p>
          <w:p w:rsidR="009E64F5" w:rsidRPr="00E22465" w:rsidRDefault="009E64F5" w:rsidP="009E64F5">
            <w:pPr>
              <w:rPr>
                <w:rFonts w:ascii="Arial" w:hAnsi="Arial" w:cs="Arial"/>
                <w:sz w:val="20"/>
                <w:szCs w:val="20"/>
              </w:rPr>
            </w:pPr>
            <w:r w:rsidRPr="00E22465">
              <w:rPr>
                <w:rFonts w:ascii="Arial" w:hAnsi="Arial" w:cs="Arial"/>
                <w:sz w:val="20"/>
                <w:szCs w:val="20"/>
              </w:rPr>
              <w:t>b. Reconcile the Accounting records with the records of the DA-ATI, the Source Agency, and the Productivity and Development Center in charge of the project; and</w:t>
            </w:r>
          </w:p>
          <w:p w:rsidR="009E64F5" w:rsidRPr="00E22465" w:rsidRDefault="009E64F5" w:rsidP="009E64F5">
            <w:pPr>
              <w:rPr>
                <w:rFonts w:ascii="Arial" w:hAnsi="Arial" w:cs="Arial"/>
                <w:sz w:val="20"/>
                <w:szCs w:val="20"/>
              </w:rPr>
            </w:pPr>
          </w:p>
          <w:p w:rsidR="003062F0" w:rsidRPr="00E22465" w:rsidRDefault="009E64F5" w:rsidP="009E64F5">
            <w:pPr>
              <w:rPr>
                <w:rFonts w:ascii="Arial" w:hAnsi="Arial" w:cs="Arial"/>
                <w:sz w:val="20"/>
                <w:szCs w:val="20"/>
              </w:rPr>
            </w:pPr>
            <w:r w:rsidRPr="00E22465">
              <w:rPr>
                <w:rFonts w:ascii="Arial" w:hAnsi="Arial" w:cs="Arial"/>
                <w:sz w:val="20"/>
                <w:szCs w:val="20"/>
              </w:rPr>
              <w:t>c. Immediately submit the liquidation reports to the DA-ATI as the project was already fully completed in CY 2012.</w:t>
            </w:r>
          </w:p>
        </w:tc>
        <w:tc>
          <w:tcPr>
            <w:tcW w:w="1350" w:type="dxa"/>
          </w:tcPr>
          <w:p w:rsidR="003062F0" w:rsidRPr="00E22465" w:rsidRDefault="003062F0" w:rsidP="00AE04A4">
            <w:pPr>
              <w:rPr>
                <w:rFonts w:ascii="Arial" w:hAnsi="Arial" w:cs="Arial"/>
                <w:sz w:val="20"/>
                <w:szCs w:val="20"/>
              </w:rPr>
            </w:pPr>
          </w:p>
        </w:tc>
        <w:tc>
          <w:tcPr>
            <w:tcW w:w="1530" w:type="dxa"/>
          </w:tcPr>
          <w:p w:rsidR="003062F0" w:rsidRDefault="003062F0" w:rsidP="00AE04A4">
            <w:pPr>
              <w:rPr>
                <w:rFonts w:ascii="Arial" w:hAnsi="Arial" w:cs="Arial"/>
                <w:sz w:val="20"/>
                <w:szCs w:val="20"/>
              </w:rPr>
            </w:pPr>
          </w:p>
          <w:p w:rsidR="002E109E" w:rsidRDefault="002E109E" w:rsidP="00AE04A4">
            <w:pPr>
              <w:rPr>
                <w:rFonts w:ascii="Arial" w:hAnsi="Arial" w:cs="Arial"/>
                <w:sz w:val="20"/>
                <w:szCs w:val="20"/>
              </w:rPr>
            </w:pPr>
          </w:p>
          <w:p w:rsidR="002E109E" w:rsidRDefault="002E109E" w:rsidP="00AE04A4">
            <w:pPr>
              <w:rPr>
                <w:rFonts w:ascii="Arial" w:hAnsi="Arial" w:cs="Arial"/>
                <w:sz w:val="20"/>
                <w:szCs w:val="20"/>
              </w:rPr>
            </w:pPr>
          </w:p>
          <w:p w:rsidR="002E109E" w:rsidRDefault="002E109E" w:rsidP="00AE04A4">
            <w:pPr>
              <w:rPr>
                <w:rFonts w:ascii="Arial" w:hAnsi="Arial" w:cs="Arial"/>
                <w:sz w:val="20"/>
                <w:szCs w:val="20"/>
              </w:rPr>
            </w:pPr>
          </w:p>
          <w:p w:rsidR="002E109E" w:rsidRPr="00E22465" w:rsidRDefault="002E109E" w:rsidP="00AE04A4">
            <w:pPr>
              <w:rPr>
                <w:rFonts w:ascii="Arial" w:hAnsi="Arial" w:cs="Arial"/>
                <w:sz w:val="20"/>
                <w:szCs w:val="20"/>
              </w:rPr>
            </w:pPr>
          </w:p>
        </w:tc>
        <w:tc>
          <w:tcPr>
            <w:tcW w:w="990" w:type="dxa"/>
          </w:tcPr>
          <w:p w:rsidR="003062F0" w:rsidRDefault="003062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r>
              <w:rPr>
                <w:rFonts w:ascii="Arial" w:hAnsi="Arial" w:cs="Arial"/>
                <w:sz w:val="20"/>
                <w:szCs w:val="20"/>
              </w:rPr>
              <w:t>January 2019</w:t>
            </w: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r>
              <w:rPr>
                <w:rFonts w:ascii="Arial" w:hAnsi="Arial" w:cs="Arial"/>
                <w:sz w:val="20"/>
                <w:szCs w:val="20"/>
              </w:rPr>
              <w:t>January 2019</w:t>
            </w: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r>
              <w:rPr>
                <w:rFonts w:ascii="Arial" w:hAnsi="Arial" w:cs="Arial"/>
                <w:sz w:val="20"/>
                <w:szCs w:val="20"/>
              </w:rPr>
              <w:t>January 2019</w:t>
            </w:r>
          </w:p>
          <w:p w:rsidR="004D6EF0" w:rsidRPr="00E22465" w:rsidRDefault="004D6EF0" w:rsidP="00AE04A4">
            <w:pPr>
              <w:rPr>
                <w:rFonts w:ascii="Arial" w:hAnsi="Arial" w:cs="Arial"/>
                <w:sz w:val="20"/>
                <w:szCs w:val="20"/>
              </w:rPr>
            </w:pPr>
          </w:p>
        </w:tc>
        <w:tc>
          <w:tcPr>
            <w:tcW w:w="1144" w:type="dxa"/>
          </w:tcPr>
          <w:p w:rsidR="003062F0" w:rsidRDefault="003062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r>
              <w:rPr>
                <w:rFonts w:ascii="Arial" w:hAnsi="Arial" w:cs="Arial"/>
                <w:sz w:val="20"/>
                <w:szCs w:val="20"/>
              </w:rPr>
              <w:t>December 2019</w:t>
            </w: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r>
              <w:rPr>
                <w:rFonts w:ascii="Arial" w:hAnsi="Arial" w:cs="Arial"/>
                <w:sz w:val="20"/>
                <w:szCs w:val="20"/>
              </w:rPr>
              <w:t>December 2019</w:t>
            </w: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Default="004D6EF0" w:rsidP="00AE04A4">
            <w:pPr>
              <w:rPr>
                <w:rFonts w:ascii="Arial" w:hAnsi="Arial" w:cs="Arial"/>
                <w:sz w:val="20"/>
                <w:szCs w:val="20"/>
              </w:rPr>
            </w:pPr>
          </w:p>
          <w:p w:rsidR="004D6EF0" w:rsidRPr="00E22465" w:rsidRDefault="004D6EF0" w:rsidP="00AE04A4">
            <w:pPr>
              <w:rPr>
                <w:rFonts w:ascii="Arial" w:hAnsi="Arial" w:cs="Arial"/>
                <w:sz w:val="20"/>
                <w:szCs w:val="20"/>
              </w:rPr>
            </w:pPr>
            <w:r>
              <w:rPr>
                <w:rFonts w:ascii="Arial" w:hAnsi="Arial" w:cs="Arial"/>
                <w:sz w:val="20"/>
                <w:szCs w:val="20"/>
              </w:rPr>
              <w:t>December 2019</w:t>
            </w:r>
          </w:p>
        </w:tc>
        <w:tc>
          <w:tcPr>
            <w:tcW w:w="1646" w:type="dxa"/>
          </w:tcPr>
          <w:p w:rsidR="00027AD4" w:rsidRDefault="00027AD4" w:rsidP="00AE04A4">
            <w:pPr>
              <w:rPr>
                <w:rFonts w:ascii="Arial" w:hAnsi="Arial" w:cs="Arial"/>
                <w:sz w:val="20"/>
                <w:szCs w:val="20"/>
              </w:rPr>
            </w:pPr>
          </w:p>
          <w:p w:rsidR="00027AD4" w:rsidRDefault="00027AD4" w:rsidP="00AE04A4">
            <w:pPr>
              <w:rPr>
                <w:rFonts w:ascii="Arial" w:hAnsi="Arial" w:cs="Arial"/>
                <w:sz w:val="20"/>
                <w:szCs w:val="20"/>
              </w:rPr>
            </w:pPr>
          </w:p>
          <w:p w:rsidR="00027AD4" w:rsidRDefault="00027AD4" w:rsidP="00AE04A4">
            <w:pPr>
              <w:rPr>
                <w:rFonts w:ascii="Arial" w:hAnsi="Arial" w:cs="Arial"/>
                <w:sz w:val="20"/>
                <w:szCs w:val="20"/>
              </w:rPr>
            </w:pPr>
          </w:p>
          <w:p w:rsidR="00027AD4" w:rsidRDefault="00027AD4" w:rsidP="00AE04A4">
            <w:pPr>
              <w:rPr>
                <w:rFonts w:ascii="Arial" w:hAnsi="Arial" w:cs="Arial"/>
                <w:sz w:val="20"/>
                <w:szCs w:val="20"/>
              </w:rPr>
            </w:pPr>
          </w:p>
          <w:p w:rsidR="003062F0" w:rsidRDefault="00C56A2F" w:rsidP="00AE04A4">
            <w:pPr>
              <w:rPr>
                <w:rFonts w:ascii="Arial" w:hAnsi="Arial" w:cs="Arial"/>
                <w:sz w:val="20"/>
                <w:szCs w:val="20"/>
              </w:rPr>
            </w:pPr>
            <w:r w:rsidRPr="00E22465">
              <w:rPr>
                <w:rFonts w:ascii="Arial" w:hAnsi="Arial" w:cs="Arial"/>
                <w:sz w:val="20"/>
                <w:szCs w:val="20"/>
              </w:rPr>
              <w:t>Fully 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027AD4" w:rsidP="00AE04A4">
            <w:pPr>
              <w:rPr>
                <w:rFonts w:ascii="Arial" w:hAnsi="Arial" w:cs="Arial"/>
                <w:sz w:val="20"/>
                <w:szCs w:val="20"/>
              </w:rPr>
            </w:pPr>
            <w:r w:rsidRPr="00027AD4">
              <w:rPr>
                <w:rFonts w:ascii="Arial" w:hAnsi="Arial" w:cs="Arial"/>
                <w:sz w:val="20"/>
                <w:szCs w:val="20"/>
              </w:rPr>
              <w:t xml:space="preserve">Fully </w:t>
            </w:r>
            <w:r>
              <w:rPr>
                <w:rFonts w:ascii="Arial" w:hAnsi="Arial" w:cs="Arial"/>
                <w:sz w:val="20"/>
                <w:szCs w:val="20"/>
              </w:rPr>
              <w:t>i</w:t>
            </w:r>
            <w:r w:rsidR="00426E93" w:rsidRPr="00027AD4">
              <w:rPr>
                <w:rFonts w:ascii="Arial" w:hAnsi="Arial" w:cs="Arial"/>
                <w:sz w:val="20"/>
                <w:szCs w:val="20"/>
              </w:rPr>
              <w:t>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r>
              <w:rPr>
                <w:rFonts w:ascii="Arial" w:hAnsi="Arial" w:cs="Arial"/>
                <w:sz w:val="20"/>
                <w:szCs w:val="20"/>
              </w:rPr>
              <w:t>Fully implemented</w:t>
            </w:r>
          </w:p>
          <w:p w:rsidR="00426E93" w:rsidRPr="00E22465" w:rsidRDefault="00426E93" w:rsidP="00AE04A4">
            <w:pPr>
              <w:rPr>
                <w:rFonts w:ascii="Arial" w:hAnsi="Arial" w:cs="Arial"/>
                <w:sz w:val="20"/>
                <w:szCs w:val="20"/>
              </w:rPr>
            </w:pPr>
          </w:p>
        </w:tc>
        <w:tc>
          <w:tcPr>
            <w:tcW w:w="1260" w:type="dxa"/>
          </w:tcPr>
          <w:p w:rsidR="003062F0" w:rsidRPr="00E22465" w:rsidRDefault="003062F0" w:rsidP="00AE04A4">
            <w:pPr>
              <w:rPr>
                <w:rFonts w:ascii="Arial" w:hAnsi="Arial" w:cs="Arial"/>
                <w:sz w:val="20"/>
                <w:szCs w:val="20"/>
              </w:rPr>
            </w:pPr>
          </w:p>
        </w:tc>
        <w:tc>
          <w:tcPr>
            <w:tcW w:w="2380" w:type="dxa"/>
          </w:tcPr>
          <w:p w:rsidR="003062F0" w:rsidRDefault="003062F0"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A3126E" w:rsidRDefault="00A3126E" w:rsidP="00027AD4">
            <w:pPr>
              <w:rPr>
                <w:rFonts w:ascii="Arial" w:hAnsi="Arial" w:cs="Arial"/>
                <w:sz w:val="20"/>
                <w:szCs w:val="20"/>
              </w:rPr>
            </w:pPr>
          </w:p>
          <w:p w:rsidR="000E1DD0" w:rsidRDefault="00A3126E" w:rsidP="00027AD4">
            <w:pPr>
              <w:rPr>
                <w:rFonts w:ascii="Arial" w:hAnsi="Arial" w:cs="Arial"/>
                <w:sz w:val="20"/>
                <w:szCs w:val="20"/>
              </w:rPr>
            </w:pPr>
            <w:r>
              <w:rPr>
                <w:rFonts w:ascii="Arial" w:hAnsi="Arial" w:cs="Arial"/>
                <w:sz w:val="20"/>
                <w:szCs w:val="20"/>
              </w:rPr>
              <w:t>Recorded the reconciled amount of</w:t>
            </w:r>
            <w:r w:rsidR="000E1DD0">
              <w:rPr>
                <w:rFonts w:ascii="Arial" w:hAnsi="Arial" w:cs="Arial"/>
                <w:sz w:val="20"/>
                <w:szCs w:val="20"/>
              </w:rPr>
              <w:t xml:space="preserve"> </w:t>
            </w:r>
          </w:p>
          <w:p w:rsidR="00A3126E" w:rsidRPr="00E22465" w:rsidRDefault="000E1DD0" w:rsidP="000E1DD0">
            <w:pPr>
              <w:rPr>
                <w:rFonts w:ascii="Arial" w:hAnsi="Arial" w:cs="Arial"/>
                <w:sz w:val="20"/>
                <w:szCs w:val="20"/>
              </w:rPr>
            </w:pPr>
            <w:r w:rsidRPr="00E22465">
              <w:rPr>
                <w:rFonts w:ascii="Arial" w:hAnsi="Arial" w:cs="Arial"/>
                <w:sz w:val="20"/>
                <w:szCs w:val="20"/>
              </w:rPr>
              <w:t>₱</w:t>
            </w:r>
            <w:r w:rsidR="00A3126E">
              <w:rPr>
                <w:rFonts w:ascii="Arial" w:hAnsi="Arial" w:cs="Arial"/>
                <w:sz w:val="20"/>
                <w:szCs w:val="20"/>
              </w:rPr>
              <w:t xml:space="preserve"> </w:t>
            </w:r>
            <w:r>
              <w:rPr>
                <w:rFonts w:ascii="Arial" w:hAnsi="Arial" w:cs="Arial"/>
                <w:sz w:val="20"/>
                <w:szCs w:val="20"/>
              </w:rPr>
              <w:t xml:space="preserve">2,068,100.13 </w:t>
            </w:r>
            <w:r w:rsidR="00A3126E">
              <w:rPr>
                <w:rFonts w:ascii="Arial" w:hAnsi="Arial" w:cs="Arial"/>
                <w:sz w:val="20"/>
                <w:szCs w:val="20"/>
              </w:rPr>
              <w:t>per JEV No. 19-12-1094.</w:t>
            </w:r>
          </w:p>
        </w:tc>
      </w:tr>
      <w:tr w:rsidR="003062F0" w:rsidRPr="00E22465" w:rsidTr="007D01AA">
        <w:tc>
          <w:tcPr>
            <w:tcW w:w="648" w:type="dxa"/>
          </w:tcPr>
          <w:p w:rsidR="003062F0" w:rsidRPr="00E22465" w:rsidRDefault="003062F0" w:rsidP="00AD6246">
            <w:pPr>
              <w:jc w:val="center"/>
              <w:rPr>
                <w:rFonts w:ascii="Arial" w:hAnsi="Arial" w:cs="Arial"/>
                <w:b/>
                <w:sz w:val="20"/>
                <w:szCs w:val="20"/>
              </w:rPr>
            </w:pPr>
            <w:r w:rsidRPr="00E22465">
              <w:rPr>
                <w:rFonts w:ascii="Arial" w:hAnsi="Arial" w:cs="Arial"/>
                <w:b/>
                <w:sz w:val="20"/>
                <w:szCs w:val="20"/>
              </w:rPr>
              <w:lastRenderedPageBreak/>
              <w:t>7</w:t>
            </w:r>
          </w:p>
        </w:tc>
        <w:tc>
          <w:tcPr>
            <w:tcW w:w="3294" w:type="dxa"/>
          </w:tcPr>
          <w:p w:rsidR="003062F0" w:rsidRPr="00E22465" w:rsidRDefault="003F4421" w:rsidP="00AE04A4">
            <w:pPr>
              <w:rPr>
                <w:rFonts w:ascii="Arial" w:hAnsi="Arial" w:cs="Arial"/>
                <w:sz w:val="20"/>
                <w:szCs w:val="20"/>
              </w:rPr>
            </w:pPr>
            <w:r w:rsidRPr="00E22465">
              <w:rPr>
                <w:rFonts w:ascii="Arial" w:hAnsi="Arial" w:cs="Arial"/>
                <w:sz w:val="20"/>
                <w:szCs w:val="20"/>
              </w:rPr>
              <w:t xml:space="preserve">The faithful representation of the year-end balance of Advances to Contractors account in the amount of P5.471 million was not ascertained due to inclusion of advances to service providers of P0.776 million for room accommodations during events/seminars undertaken in CYs 2010 to 2016, other deposits which were long-outstanding amounting to P0.616 million, and the three months rental deposit and one month rental for DAP </w:t>
            </w:r>
            <w:proofErr w:type="spellStart"/>
            <w:r w:rsidRPr="00E22465">
              <w:rPr>
                <w:rFonts w:ascii="Arial" w:hAnsi="Arial" w:cs="Arial"/>
                <w:sz w:val="20"/>
                <w:szCs w:val="20"/>
              </w:rPr>
              <w:t>sa</w:t>
            </w:r>
            <w:proofErr w:type="spellEnd"/>
            <w:r w:rsidRPr="00E22465">
              <w:rPr>
                <w:rFonts w:ascii="Arial" w:hAnsi="Arial" w:cs="Arial"/>
                <w:sz w:val="20"/>
                <w:szCs w:val="20"/>
              </w:rPr>
              <w:t xml:space="preserve"> Mindanao (DSM) office space in the amount of P109</w:t>
            </w:r>
            <w:proofErr w:type="gramStart"/>
            <w:r w:rsidRPr="00E22465">
              <w:rPr>
                <w:rFonts w:ascii="Arial" w:hAnsi="Arial" w:cs="Arial"/>
                <w:sz w:val="20"/>
                <w:szCs w:val="20"/>
              </w:rPr>
              <w:t>,500</w:t>
            </w:r>
            <w:proofErr w:type="gramEnd"/>
            <w:r w:rsidRPr="00E22465">
              <w:rPr>
                <w:rFonts w:ascii="Arial" w:hAnsi="Arial" w:cs="Arial"/>
                <w:sz w:val="20"/>
                <w:szCs w:val="20"/>
              </w:rPr>
              <w:t>.</w:t>
            </w:r>
          </w:p>
        </w:tc>
        <w:tc>
          <w:tcPr>
            <w:tcW w:w="3060" w:type="dxa"/>
          </w:tcPr>
          <w:p w:rsidR="003062F0" w:rsidRPr="00E22465" w:rsidRDefault="003F4421" w:rsidP="00AE04A4">
            <w:pPr>
              <w:rPr>
                <w:rFonts w:ascii="Arial" w:hAnsi="Arial" w:cs="Arial"/>
                <w:sz w:val="20"/>
                <w:szCs w:val="20"/>
              </w:rPr>
            </w:pPr>
            <w:r w:rsidRPr="00E22465">
              <w:rPr>
                <w:rFonts w:ascii="Arial" w:hAnsi="Arial" w:cs="Arial"/>
                <w:sz w:val="20"/>
                <w:szCs w:val="20"/>
              </w:rPr>
              <w:t>We recommended that Management instruct the Accounting Division to analyze/review all transactions recorded under the Advances to Contractors account and prepare the necessary adjustments to reflect the correct balance of the account in the books.</w:t>
            </w:r>
          </w:p>
        </w:tc>
        <w:tc>
          <w:tcPr>
            <w:tcW w:w="1350" w:type="dxa"/>
          </w:tcPr>
          <w:p w:rsidR="003062F0" w:rsidRPr="00E22465" w:rsidRDefault="003062F0" w:rsidP="00AE04A4">
            <w:pPr>
              <w:rPr>
                <w:rFonts w:ascii="Arial" w:hAnsi="Arial" w:cs="Arial"/>
                <w:sz w:val="20"/>
                <w:szCs w:val="20"/>
              </w:rPr>
            </w:pPr>
          </w:p>
        </w:tc>
        <w:tc>
          <w:tcPr>
            <w:tcW w:w="1530" w:type="dxa"/>
          </w:tcPr>
          <w:p w:rsidR="003062F0" w:rsidRPr="00E22465" w:rsidRDefault="003062F0" w:rsidP="00AE04A4">
            <w:pPr>
              <w:rPr>
                <w:rFonts w:ascii="Arial" w:hAnsi="Arial" w:cs="Arial"/>
                <w:sz w:val="20"/>
                <w:szCs w:val="20"/>
              </w:rPr>
            </w:pPr>
          </w:p>
        </w:tc>
        <w:tc>
          <w:tcPr>
            <w:tcW w:w="990" w:type="dxa"/>
          </w:tcPr>
          <w:p w:rsidR="003062F0" w:rsidRPr="00E22465" w:rsidRDefault="004D6EF0" w:rsidP="00AE04A4">
            <w:pPr>
              <w:rPr>
                <w:rFonts w:ascii="Arial" w:hAnsi="Arial" w:cs="Arial"/>
                <w:sz w:val="20"/>
                <w:szCs w:val="20"/>
              </w:rPr>
            </w:pPr>
            <w:r>
              <w:rPr>
                <w:rFonts w:ascii="Arial" w:hAnsi="Arial" w:cs="Arial"/>
                <w:sz w:val="20"/>
                <w:szCs w:val="20"/>
              </w:rPr>
              <w:t>April 2019</w:t>
            </w:r>
          </w:p>
        </w:tc>
        <w:tc>
          <w:tcPr>
            <w:tcW w:w="1144" w:type="dxa"/>
          </w:tcPr>
          <w:p w:rsidR="003062F0" w:rsidRPr="00E22465" w:rsidRDefault="004D6EF0" w:rsidP="00AE04A4">
            <w:pPr>
              <w:rPr>
                <w:rFonts w:ascii="Arial" w:hAnsi="Arial" w:cs="Arial"/>
                <w:sz w:val="20"/>
                <w:szCs w:val="20"/>
              </w:rPr>
            </w:pPr>
            <w:r>
              <w:rPr>
                <w:rFonts w:ascii="Arial" w:hAnsi="Arial" w:cs="Arial"/>
                <w:sz w:val="20"/>
                <w:szCs w:val="20"/>
              </w:rPr>
              <w:t>May 2019</w:t>
            </w:r>
          </w:p>
        </w:tc>
        <w:tc>
          <w:tcPr>
            <w:tcW w:w="1646" w:type="dxa"/>
          </w:tcPr>
          <w:p w:rsidR="003062F0" w:rsidRPr="00E22465" w:rsidRDefault="003062F0" w:rsidP="00AE04A4">
            <w:pPr>
              <w:rPr>
                <w:rFonts w:ascii="Arial" w:hAnsi="Arial" w:cs="Arial"/>
                <w:sz w:val="20"/>
                <w:szCs w:val="20"/>
              </w:rPr>
            </w:pPr>
            <w:r w:rsidRPr="00E22465">
              <w:rPr>
                <w:rFonts w:ascii="Arial" w:hAnsi="Arial" w:cs="Arial"/>
                <w:sz w:val="20"/>
                <w:szCs w:val="20"/>
              </w:rPr>
              <w:t>Fully implemented</w:t>
            </w:r>
          </w:p>
        </w:tc>
        <w:tc>
          <w:tcPr>
            <w:tcW w:w="1260" w:type="dxa"/>
          </w:tcPr>
          <w:p w:rsidR="003062F0" w:rsidRPr="00E22465" w:rsidRDefault="003062F0" w:rsidP="00AE04A4">
            <w:pPr>
              <w:rPr>
                <w:rFonts w:ascii="Arial" w:hAnsi="Arial" w:cs="Arial"/>
                <w:sz w:val="20"/>
                <w:szCs w:val="20"/>
              </w:rPr>
            </w:pPr>
          </w:p>
        </w:tc>
        <w:tc>
          <w:tcPr>
            <w:tcW w:w="2380" w:type="dxa"/>
          </w:tcPr>
          <w:p w:rsidR="00894158" w:rsidRPr="00E22465" w:rsidRDefault="00894158" w:rsidP="00894158">
            <w:pPr>
              <w:rPr>
                <w:rFonts w:ascii="Arial" w:hAnsi="Arial" w:cs="Arial"/>
                <w:sz w:val="20"/>
                <w:szCs w:val="20"/>
              </w:rPr>
            </w:pPr>
            <w:r w:rsidRPr="00E22465">
              <w:rPr>
                <w:rFonts w:ascii="Arial" w:hAnsi="Arial" w:cs="Arial"/>
                <w:sz w:val="20"/>
                <w:szCs w:val="20"/>
              </w:rPr>
              <w:t xml:space="preserve">The amount of ₱776,350.00 was already adjusted in the books of accounts per JEV No. 19-04-1261. Another JEV No. 19-04-1244 was prepared for additional </w:t>
            </w:r>
            <w:proofErr w:type="gramStart"/>
            <w:r w:rsidRPr="00E22465">
              <w:rPr>
                <w:rFonts w:ascii="Arial" w:hAnsi="Arial" w:cs="Arial"/>
                <w:sz w:val="20"/>
                <w:szCs w:val="20"/>
              </w:rPr>
              <w:t>adjustments  amounting</w:t>
            </w:r>
            <w:proofErr w:type="gramEnd"/>
            <w:r w:rsidRPr="00E22465">
              <w:rPr>
                <w:rFonts w:ascii="Arial" w:hAnsi="Arial" w:cs="Arial"/>
                <w:sz w:val="20"/>
                <w:szCs w:val="20"/>
              </w:rPr>
              <w:t xml:space="preserve"> to ₱516,342.87.</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The amount of ₱100,000.00 per Subsidiary Ledger instead of ₱109,500.00 regarding the DSM rental deposit and advance rental has been reclassified per JEV No. 19-05-0637.</w:t>
            </w:r>
          </w:p>
          <w:p w:rsidR="00894158" w:rsidRPr="00E22465" w:rsidRDefault="00894158" w:rsidP="00894158">
            <w:pPr>
              <w:rPr>
                <w:rFonts w:ascii="Arial" w:hAnsi="Arial" w:cs="Arial"/>
                <w:sz w:val="20"/>
                <w:szCs w:val="20"/>
              </w:rPr>
            </w:pPr>
          </w:p>
          <w:p w:rsidR="003062F0" w:rsidRPr="00E22465" w:rsidRDefault="00894158" w:rsidP="00AE04A4">
            <w:pPr>
              <w:rPr>
                <w:rFonts w:ascii="Arial" w:hAnsi="Arial" w:cs="Arial"/>
                <w:sz w:val="20"/>
                <w:szCs w:val="20"/>
              </w:rPr>
            </w:pPr>
            <w:r w:rsidRPr="00E22465">
              <w:rPr>
                <w:rFonts w:ascii="Arial" w:hAnsi="Arial" w:cs="Arial"/>
                <w:sz w:val="20"/>
                <w:szCs w:val="20"/>
              </w:rPr>
              <w:t xml:space="preserve">The references are attached as </w:t>
            </w:r>
            <w:r w:rsidRPr="00364BB2">
              <w:rPr>
                <w:rFonts w:ascii="Arial" w:hAnsi="Arial" w:cs="Arial"/>
                <w:b/>
                <w:sz w:val="20"/>
                <w:szCs w:val="20"/>
              </w:rPr>
              <w:t>Annex 6.</w:t>
            </w:r>
          </w:p>
        </w:tc>
      </w:tr>
      <w:tr w:rsidR="003062F0" w:rsidRPr="00E22465" w:rsidTr="007D01AA">
        <w:tc>
          <w:tcPr>
            <w:tcW w:w="648" w:type="dxa"/>
          </w:tcPr>
          <w:p w:rsidR="003062F0" w:rsidRPr="00E22465" w:rsidRDefault="003062F0" w:rsidP="00AD6246">
            <w:pPr>
              <w:jc w:val="center"/>
              <w:rPr>
                <w:rFonts w:ascii="Arial" w:hAnsi="Arial" w:cs="Arial"/>
                <w:b/>
                <w:sz w:val="20"/>
                <w:szCs w:val="20"/>
              </w:rPr>
            </w:pPr>
            <w:r w:rsidRPr="00E22465">
              <w:rPr>
                <w:rFonts w:ascii="Arial" w:hAnsi="Arial" w:cs="Arial"/>
                <w:b/>
                <w:sz w:val="20"/>
                <w:szCs w:val="20"/>
              </w:rPr>
              <w:t>8</w:t>
            </w:r>
          </w:p>
        </w:tc>
        <w:tc>
          <w:tcPr>
            <w:tcW w:w="3294" w:type="dxa"/>
          </w:tcPr>
          <w:p w:rsidR="003062F0" w:rsidRPr="00E22465" w:rsidRDefault="003F4421" w:rsidP="00AE04A4">
            <w:pPr>
              <w:rPr>
                <w:rFonts w:ascii="Arial" w:hAnsi="Arial" w:cs="Arial"/>
                <w:sz w:val="20"/>
                <w:szCs w:val="20"/>
              </w:rPr>
            </w:pPr>
            <w:r w:rsidRPr="00E22465">
              <w:rPr>
                <w:rFonts w:ascii="Arial" w:hAnsi="Arial" w:cs="Arial"/>
                <w:sz w:val="20"/>
                <w:szCs w:val="20"/>
              </w:rPr>
              <w:t xml:space="preserve">The Bureau of Internal Revenue (BIR) Forms 2306 (Certificate of Final Tax Withheld at Source) and 2307 (Certificate of Creditable Tax Withheld at Source) amounting to P0.748 million and P0.299 million, respectively, or aggregating P1.047 million were not issued by the clients to DAP as required under Revenue Regulation (RR) No. 2-98 dated April 17, 1998; thus, the Academy was not able to apply the Tax Certificates as tax credit against its tax liability and, the </w:t>
            </w:r>
            <w:r w:rsidRPr="00E22465">
              <w:rPr>
                <w:rFonts w:ascii="Arial" w:hAnsi="Arial" w:cs="Arial"/>
                <w:sz w:val="20"/>
                <w:szCs w:val="20"/>
              </w:rPr>
              <w:lastRenderedPageBreak/>
              <w:t xml:space="preserve">Accounts Receivable account pertaining to Tax Certificates on collections remained outstanding in the books as of December 31, 2018.  </w:t>
            </w:r>
          </w:p>
        </w:tc>
        <w:tc>
          <w:tcPr>
            <w:tcW w:w="3060" w:type="dxa"/>
          </w:tcPr>
          <w:p w:rsidR="003062F0" w:rsidRPr="00E22465" w:rsidRDefault="003F4421" w:rsidP="00AE04A4">
            <w:pPr>
              <w:rPr>
                <w:rFonts w:ascii="Arial" w:hAnsi="Arial" w:cs="Arial"/>
                <w:sz w:val="20"/>
                <w:szCs w:val="20"/>
              </w:rPr>
            </w:pPr>
            <w:r w:rsidRPr="00E22465">
              <w:rPr>
                <w:rFonts w:ascii="Arial" w:hAnsi="Arial" w:cs="Arial"/>
                <w:sz w:val="20"/>
                <w:szCs w:val="20"/>
              </w:rPr>
              <w:lastRenderedPageBreak/>
              <w:t>We recommended that Management always demand from its clients the submission/issuance of BIR Forms 2306 and 2307 together with the payments so that the Academy can use the Tax Certificates as tax credit or deduction against its tax liability to the BIR.</w:t>
            </w:r>
          </w:p>
        </w:tc>
        <w:tc>
          <w:tcPr>
            <w:tcW w:w="1350" w:type="dxa"/>
          </w:tcPr>
          <w:p w:rsidR="003062F0" w:rsidRPr="00E22465" w:rsidRDefault="003062F0" w:rsidP="00AE04A4">
            <w:pPr>
              <w:rPr>
                <w:rFonts w:ascii="Arial" w:hAnsi="Arial" w:cs="Arial"/>
                <w:sz w:val="20"/>
                <w:szCs w:val="20"/>
              </w:rPr>
            </w:pPr>
          </w:p>
        </w:tc>
        <w:tc>
          <w:tcPr>
            <w:tcW w:w="1530" w:type="dxa"/>
          </w:tcPr>
          <w:p w:rsidR="003062F0" w:rsidRPr="00E22465" w:rsidRDefault="003062F0" w:rsidP="00AE04A4">
            <w:pPr>
              <w:rPr>
                <w:rFonts w:ascii="Arial" w:hAnsi="Arial" w:cs="Arial"/>
                <w:sz w:val="20"/>
                <w:szCs w:val="20"/>
              </w:rPr>
            </w:pPr>
          </w:p>
        </w:tc>
        <w:tc>
          <w:tcPr>
            <w:tcW w:w="990" w:type="dxa"/>
          </w:tcPr>
          <w:p w:rsidR="003062F0" w:rsidRPr="00E22465" w:rsidRDefault="00364528" w:rsidP="00AE04A4">
            <w:pPr>
              <w:rPr>
                <w:rFonts w:ascii="Arial" w:hAnsi="Arial" w:cs="Arial"/>
                <w:sz w:val="20"/>
                <w:szCs w:val="20"/>
              </w:rPr>
            </w:pPr>
            <w:r>
              <w:rPr>
                <w:rFonts w:ascii="Arial" w:hAnsi="Arial" w:cs="Arial"/>
                <w:sz w:val="20"/>
                <w:szCs w:val="20"/>
              </w:rPr>
              <w:t>January 2019</w:t>
            </w:r>
          </w:p>
        </w:tc>
        <w:tc>
          <w:tcPr>
            <w:tcW w:w="1144" w:type="dxa"/>
          </w:tcPr>
          <w:p w:rsidR="003062F0" w:rsidRPr="00E22465" w:rsidRDefault="00364528" w:rsidP="00AE04A4">
            <w:pPr>
              <w:rPr>
                <w:rFonts w:ascii="Arial" w:hAnsi="Arial" w:cs="Arial"/>
                <w:sz w:val="20"/>
                <w:szCs w:val="20"/>
              </w:rPr>
            </w:pPr>
            <w:r>
              <w:rPr>
                <w:rFonts w:ascii="Arial" w:hAnsi="Arial" w:cs="Arial"/>
                <w:sz w:val="20"/>
                <w:szCs w:val="20"/>
              </w:rPr>
              <w:t>August 2019</w:t>
            </w:r>
          </w:p>
        </w:tc>
        <w:tc>
          <w:tcPr>
            <w:tcW w:w="1646" w:type="dxa"/>
          </w:tcPr>
          <w:p w:rsidR="003062F0" w:rsidRPr="00E22465" w:rsidRDefault="003062F0" w:rsidP="00AE04A4">
            <w:pPr>
              <w:rPr>
                <w:rFonts w:ascii="Arial" w:hAnsi="Arial" w:cs="Arial"/>
                <w:sz w:val="20"/>
                <w:szCs w:val="20"/>
              </w:rPr>
            </w:pPr>
            <w:r w:rsidRPr="00E22465">
              <w:rPr>
                <w:rFonts w:ascii="Arial" w:hAnsi="Arial" w:cs="Arial"/>
                <w:sz w:val="20"/>
                <w:szCs w:val="20"/>
              </w:rPr>
              <w:t>Fully implemented</w:t>
            </w:r>
          </w:p>
        </w:tc>
        <w:tc>
          <w:tcPr>
            <w:tcW w:w="1260" w:type="dxa"/>
          </w:tcPr>
          <w:p w:rsidR="003062F0" w:rsidRPr="00E22465" w:rsidRDefault="003062F0" w:rsidP="00AE04A4">
            <w:pPr>
              <w:rPr>
                <w:rFonts w:ascii="Arial" w:hAnsi="Arial" w:cs="Arial"/>
                <w:sz w:val="20"/>
                <w:szCs w:val="20"/>
              </w:rPr>
            </w:pPr>
          </w:p>
        </w:tc>
        <w:tc>
          <w:tcPr>
            <w:tcW w:w="2380" w:type="dxa"/>
          </w:tcPr>
          <w:p w:rsidR="00894158" w:rsidRPr="00E22465" w:rsidRDefault="00894158" w:rsidP="00894158">
            <w:pPr>
              <w:rPr>
                <w:rFonts w:ascii="Arial" w:hAnsi="Arial" w:cs="Arial"/>
                <w:sz w:val="20"/>
                <w:szCs w:val="20"/>
              </w:rPr>
            </w:pPr>
            <w:r w:rsidRPr="00E22465">
              <w:rPr>
                <w:rFonts w:ascii="Arial" w:hAnsi="Arial" w:cs="Arial"/>
                <w:sz w:val="20"/>
                <w:szCs w:val="20"/>
              </w:rPr>
              <w:t xml:space="preserve">The total amount of ₱975,831.76 has been recorded for Tax Certificates, leaving a balance of only ₱70,689.63 that pertains to 2018. Attached is </w:t>
            </w:r>
            <w:r w:rsidRPr="00364BB2">
              <w:rPr>
                <w:rFonts w:ascii="Arial" w:hAnsi="Arial" w:cs="Arial"/>
                <w:b/>
                <w:sz w:val="20"/>
                <w:szCs w:val="20"/>
              </w:rPr>
              <w:t>Annex 7</w:t>
            </w:r>
            <w:r w:rsidRPr="00E22465">
              <w:rPr>
                <w:rFonts w:ascii="Arial" w:hAnsi="Arial" w:cs="Arial"/>
                <w:sz w:val="20"/>
                <w:szCs w:val="20"/>
              </w:rPr>
              <w:t xml:space="preserve"> for the supporting JEVs. </w:t>
            </w:r>
          </w:p>
          <w:p w:rsidR="00894158" w:rsidRPr="00E22465" w:rsidRDefault="00894158" w:rsidP="00894158">
            <w:pPr>
              <w:rPr>
                <w:rFonts w:ascii="Arial" w:hAnsi="Arial" w:cs="Arial"/>
                <w:sz w:val="20"/>
                <w:szCs w:val="20"/>
              </w:rPr>
            </w:pPr>
          </w:p>
          <w:p w:rsidR="003062F0" w:rsidRPr="00E22465" w:rsidRDefault="00894158" w:rsidP="00894158">
            <w:pPr>
              <w:rPr>
                <w:rFonts w:ascii="Arial" w:hAnsi="Arial" w:cs="Arial"/>
                <w:sz w:val="20"/>
                <w:szCs w:val="20"/>
              </w:rPr>
            </w:pPr>
            <w:r w:rsidRPr="00E22465">
              <w:rPr>
                <w:rFonts w:ascii="Arial" w:hAnsi="Arial" w:cs="Arial"/>
                <w:sz w:val="20"/>
                <w:szCs w:val="20"/>
              </w:rPr>
              <w:t xml:space="preserve">Letters were already sent to the clients concerned regarding the submission of said tax </w:t>
            </w:r>
            <w:r w:rsidRPr="00E22465">
              <w:rPr>
                <w:rFonts w:ascii="Arial" w:hAnsi="Arial" w:cs="Arial"/>
                <w:sz w:val="20"/>
                <w:szCs w:val="20"/>
              </w:rPr>
              <w:lastRenderedPageBreak/>
              <w:t>certificates and still awaiting for their responses.</w:t>
            </w:r>
          </w:p>
        </w:tc>
      </w:tr>
      <w:tr w:rsidR="003062F0" w:rsidRPr="00E22465" w:rsidTr="007D01AA">
        <w:tc>
          <w:tcPr>
            <w:tcW w:w="648" w:type="dxa"/>
          </w:tcPr>
          <w:p w:rsidR="003062F0" w:rsidRPr="00E22465" w:rsidRDefault="003062F0" w:rsidP="00AD6246">
            <w:pPr>
              <w:jc w:val="center"/>
              <w:rPr>
                <w:rFonts w:ascii="Arial" w:hAnsi="Arial" w:cs="Arial"/>
                <w:b/>
                <w:sz w:val="20"/>
                <w:szCs w:val="20"/>
              </w:rPr>
            </w:pPr>
            <w:r w:rsidRPr="00E22465">
              <w:rPr>
                <w:rFonts w:ascii="Arial" w:hAnsi="Arial" w:cs="Arial"/>
                <w:b/>
                <w:sz w:val="20"/>
                <w:szCs w:val="20"/>
              </w:rPr>
              <w:lastRenderedPageBreak/>
              <w:t>9</w:t>
            </w:r>
          </w:p>
        </w:tc>
        <w:tc>
          <w:tcPr>
            <w:tcW w:w="3294" w:type="dxa"/>
          </w:tcPr>
          <w:p w:rsidR="003062F0" w:rsidRPr="00E22465" w:rsidRDefault="003F4421" w:rsidP="003F4421">
            <w:pPr>
              <w:rPr>
                <w:rFonts w:ascii="Arial" w:hAnsi="Arial" w:cs="Arial"/>
                <w:sz w:val="20"/>
                <w:szCs w:val="20"/>
              </w:rPr>
            </w:pPr>
            <w:r w:rsidRPr="00E22465">
              <w:rPr>
                <w:rFonts w:ascii="Arial" w:hAnsi="Arial" w:cs="Arial"/>
                <w:sz w:val="20"/>
                <w:szCs w:val="20"/>
              </w:rPr>
              <w:t xml:space="preserve">Copies of forty-seven (47) contracts and their supporting documents </w:t>
            </w:r>
            <w:proofErr w:type="spellStart"/>
            <w:r w:rsidRPr="00E22465">
              <w:rPr>
                <w:rFonts w:ascii="Arial" w:hAnsi="Arial" w:cs="Arial"/>
                <w:sz w:val="20"/>
                <w:szCs w:val="20"/>
              </w:rPr>
              <w:t>totalling</w:t>
            </w:r>
            <w:proofErr w:type="spellEnd"/>
            <w:r w:rsidRPr="00E22465">
              <w:rPr>
                <w:rFonts w:ascii="Arial" w:hAnsi="Arial" w:cs="Arial"/>
                <w:sz w:val="20"/>
                <w:szCs w:val="20"/>
              </w:rPr>
              <w:t xml:space="preserve"> P161.620 million executed by the Academy for CY 2018 were not furnished to the COA within five (5) working days upon execution thereof, contrary to Section 3.1.1 of COA Circular No. 2009-001, thereby precluding the Audit Team from conducting timely review and evaluation of the contracts and the deficiencies, if any, could not be immediately conveyed to the Academy for its appropriate action.</w:t>
            </w:r>
          </w:p>
        </w:tc>
        <w:tc>
          <w:tcPr>
            <w:tcW w:w="3060" w:type="dxa"/>
          </w:tcPr>
          <w:p w:rsidR="003062F0" w:rsidRPr="00E22465" w:rsidRDefault="003F4421" w:rsidP="003062F0">
            <w:pPr>
              <w:rPr>
                <w:rFonts w:ascii="Arial" w:hAnsi="Arial" w:cs="Arial"/>
                <w:sz w:val="20"/>
                <w:szCs w:val="20"/>
              </w:rPr>
            </w:pPr>
            <w:r w:rsidRPr="00E22465">
              <w:rPr>
                <w:rFonts w:ascii="Arial" w:hAnsi="Arial" w:cs="Arial"/>
                <w:sz w:val="20"/>
                <w:szCs w:val="20"/>
              </w:rPr>
              <w:t>We recommended that Management strictly comply with Section 3.1.1 of COA Circular No. 2009-001 by furnishing copies of all contracts and their supporting documents to the Audit Team within five (5) working days from execution thereof.</w:t>
            </w:r>
          </w:p>
        </w:tc>
        <w:tc>
          <w:tcPr>
            <w:tcW w:w="1350" w:type="dxa"/>
          </w:tcPr>
          <w:p w:rsidR="003062F0" w:rsidRPr="00E22465" w:rsidRDefault="003062F0" w:rsidP="00AE04A4">
            <w:pPr>
              <w:rPr>
                <w:rFonts w:ascii="Arial" w:hAnsi="Arial" w:cs="Arial"/>
                <w:sz w:val="20"/>
                <w:szCs w:val="20"/>
              </w:rPr>
            </w:pPr>
          </w:p>
        </w:tc>
        <w:tc>
          <w:tcPr>
            <w:tcW w:w="1530" w:type="dxa"/>
          </w:tcPr>
          <w:p w:rsidR="003062F0" w:rsidRPr="00E22465" w:rsidRDefault="003062F0" w:rsidP="00AE04A4">
            <w:pPr>
              <w:rPr>
                <w:rFonts w:ascii="Arial" w:hAnsi="Arial" w:cs="Arial"/>
                <w:sz w:val="20"/>
                <w:szCs w:val="20"/>
              </w:rPr>
            </w:pPr>
          </w:p>
        </w:tc>
        <w:tc>
          <w:tcPr>
            <w:tcW w:w="990" w:type="dxa"/>
          </w:tcPr>
          <w:p w:rsidR="003062F0" w:rsidRPr="00E22465" w:rsidRDefault="00364528" w:rsidP="00AE04A4">
            <w:pPr>
              <w:rPr>
                <w:rFonts w:ascii="Arial" w:hAnsi="Arial" w:cs="Arial"/>
                <w:sz w:val="20"/>
                <w:szCs w:val="20"/>
              </w:rPr>
            </w:pPr>
            <w:r>
              <w:rPr>
                <w:rFonts w:ascii="Arial" w:hAnsi="Arial" w:cs="Arial"/>
                <w:sz w:val="20"/>
                <w:szCs w:val="20"/>
              </w:rPr>
              <w:t>April 2019</w:t>
            </w:r>
          </w:p>
        </w:tc>
        <w:tc>
          <w:tcPr>
            <w:tcW w:w="1144" w:type="dxa"/>
          </w:tcPr>
          <w:p w:rsidR="003062F0" w:rsidRPr="00E22465" w:rsidRDefault="00364528" w:rsidP="00AE04A4">
            <w:pPr>
              <w:rPr>
                <w:rFonts w:ascii="Arial" w:hAnsi="Arial" w:cs="Arial"/>
                <w:sz w:val="20"/>
                <w:szCs w:val="20"/>
              </w:rPr>
            </w:pPr>
            <w:r>
              <w:rPr>
                <w:rFonts w:ascii="Arial" w:hAnsi="Arial" w:cs="Arial"/>
                <w:sz w:val="20"/>
                <w:szCs w:val="20"/>
              </w:rPr>
              <w:t>May 2019</w:t>
            </w:r>
          </w:p>
        </w:tc>
        <w:tc>
          <w:tcPr>
            <w:tcW w:w="1646" w:type="dxa"/>
          </w:tcPr>
          <w:p w:rsidR="003062F0" w:rsidRPr="00E22465" w:rsidRDefault="003062F0" w:rsidP="00AE04A4">
            <w:pPr>
              <w:rPr>
                <w:rFonts w:ascii="Arial" w:hAnsi="Arial" w:cs="Arial"/>
                <w:sz w:val="20"/>
                <w:szCs w:val="20"/>
              </w:rPr>
            </w:pPr>
            <w:r w:rsidRPr="00E22465">
              <w:rPr>
                <w:rFonts w:ascii="Arial" w:hAnsi="Arial" w:cs="Arial"/>
                <w:sz w:val="20"/>
                <w:szCs w:val="20"/>
              </w:rPr>
              <w:t>Fully implemented</w:t>
            </w:r>
          </w:p>
        </w:tc>
        <w:tc>
          <w:tcPr>
            <w:tcW w:w="1260" w:type="dxa"/>
          </w:tcPr>
          <w:p w:rsidR="003062F0" w:rsidRPr="00E22465" w:rsidRDefault="003062F0" w:rsidP="00AE04A4">
            <w:pPr>
              <w:rPr>
                <w:rFonts w:ascii="Arial" w:hAnsi="Arial" w:cs="Arial"/>
                <w:sz w:val="20"/>
                <w:szCs w:val="20"/>
              </w:rPr>
            </w:pPr>
          </w:p>
        </w:tc>
        <w:tc>
          <w:tcPr>
            <w:tcW w:w="2380" w:type="dxa"/>
          </w:tcPr>
          <w:p w:rsidR="003062F0" w:rsidRPr="00E22465" w:rsidRDefault="00894158" w:rsidP="00AE04A4">
            <w:pPr>
              <w:rPr>
                <w:rFonts w:ascii="Arial" w:hAnsi="Arial" w:cs="Arial"/>
                <w:sz w:val="20"/>
                <w:szCs w:val="20"/>
              </w:rPr>
            </w:pPr>
            <w:r w:rsidRPr="00E22465">
              <w:rPr>
                <w:rFonts w:ascii="Arial" w:hAnsi="Arial" w:cs="Arial"/>
                <w:sz w:val="20"/>
                <w:szCs w:val="20"/>
              </w:rPr>
              <w:t>Attached are the receiving copies of transmittal documents for reference.</w:t>
            </w:r>
          </w:p>
        </w:tc>
      </w:tr>
      <w:tr w:rsidR="003062F0" w:rsidRPr="00E22465" w:rsidTr="007D01AA">
        <w:tc>
          <w:tcPr>
            <w:tcW w:w="648" w:type="dxa"/>
          </w:tcPr>
          <w:p w:rsidR="003062F0" w:rsidRPr="00E22465" w:rsidRDefault="003062F0" w:rsidP="00AD6246">
            <w:pPr>
              <w:jc w:val="center"/>
              <w:rPr>
                <w:rFonts w:ascii="Arial" w:hAnsi="Arial" w:cs="Arial"/>
                <w:b/>
                <w:sz w:val="20"/>
                <w:szCs w:val="20"/>
              </w:rPr>
            </w:pPr>
            <w:r w:rsidRPr="00E22465">
              <w:rPr>
                <w:rFonts w:ascii="Arial" w:hAnsi="Arial" w:cs="Arial"/>
                <w:b/>
                <w:sz w:val="20"/>
                <w:szCs w:val="20"/>
              </w:rPr>
              <w:t>10</w:t>
            </w:r>
          </w:p>
        </w:tc>
        <w:tc>
          <w:tcPr>
            <w:tcW w:w="3294" w:type="dxa"/>
          </w:tcPr>
          <w:p w:rsidR="003062F0" w:rsidRPr="00E22465" w:rsidRDefault="003F4421" w:rsidP="00AE04A4">
            <w:pPr>
              <w:rPr>
                <w:rFonts w:ascii="Arial" w:hAnsi="Arial" w:cs="Arial"/>
                <w:sz w:val="20"/>
                <w:szCs w:val="20"/>
              </w:rPr>
            </w:pPr>
            <w:r w:rsidRPr="00E22465">
              <w:rPr>
                <w:rFonts w:ascii="Arial" w:hAnsi="Arial" w:cs="Arial"/>
                <w:sz w:val="20"/>
                <w:szCs w:val="20"/>
              </w:rPr>
              <w:t>The cost of the audit services from CYs 1990 to 2018 amounting to          P46.338 million was not remitted to the Bureau of the Treasury (</w:t>
            </w:r>
            <w:proofErr w:type="spellStart"/>
            <w:r w:rsidRPr="00E22465">
              <w:rPr>
                <w:rFonts w:ascii="Arial" w:hAnsi="Arial" w:cs="Arial"/>
                <w:sz w:val="20"/>
                <w:szCs w:val="20"/>
              </w:rPr>
              <w:t>BTr</w:t>
            </w:r>
            <w:proofErr w:type="spellEnd"/>
            <w:r w:rsidRPr="00E22465">
              <w:rPr>
                <w:rFonts w:ascii="Arial" w:hAnsi="Arial" w:cs="Arial"/>
                <w:sz w:val="20"/>
                <w:szCs w:val="20"/>
              </w:rPr>
              <w:t>), contrary to the provisions of the Commission on Audit (COA) and Department of Budget and Management (DBM) Joint Circular No. 88-1 dated July 29, 1988 and related issuances.</w:t>
            </w:r>
          </w:p>
        </w:tc>
        <w:tc>
          <w:tcPr>
            <w:tcW w:w="3060" w:type="dxa"/>
          </w:tcPr>
          <w:p w:rsidR="0018744C" w:rsidRPr="00E22465" w:rsidRDefault="003F4421" w:rsidP="0018744C">
            <w:pPr>
              <w:rPr>
                <w:rFonts w:ascii="Arial" w:hAnsi="Arial" w:cs="Arial"/>
                <w:sz w:val="20"/>
                <w:szCs w:val="20"/>
              </w:rPr>
            </w:pPr>
            <w:r w:rsidRPr="00E22465">
              <w:rPr>
                <w:rFonts w:ascii="Arial" w:hAnsi="Arial" w:cs="Arial"/>
                <w:sz w:val="20"/>
                <w:szCs w:val="20"/>
              </w:rPr>
              <w:t>We reiterated our prior year’s audit recommendations that Management: (a) settle the latest assessment/billing received from COA; and (b) develop a payment scheme to settle the unpaid balances in compliance with the provisions of COA and DBM Joint Circular No. 88-1 dated July 29, 1988 and other related issuances.</w:t>
            </w:r>
          </w:p>
          <w:p w:rsidR="003062F0" w:rsidRPr="00E22465" w:rsidRDefault="003062F0" w:rsidP="0018744C">
            <w:pPr>
              <w:rPr>
                <w:rFonts w:ascii="Arial" w:hAnsi="Arial" w:cs="Arial"/>
                <w:sz w:val="20"/>
                <w:szCs w:val="20"/>
              </w:rPr>
            </w:pPr>
          </w:p>
        </w:tc>
        <w:tc>
          <w:tcPr>
            <w:tcW w:w="1350" w:type="dxa"/>
          </w:tcPr>
          <w:p w:rsidR="003062F0" w:rsidRPr="00E22465" w:rsidRDefault="003062F0" w:rsidP="00AE04A4">
            <w:pPr>
              <w:rPr>
                <w:rFonts w:ascii="Arial" w:hAnsi="Arial" w:cs="Arial"/>
                <w:sz w:val="20"/>
                <w:szCs w:val="20"/>
              </w:rPr>
            </w:pPr>
          </w:p>
        </w:tc>
        <w:tc>
          <w:tcPr>
            <w:tcW w:w="1530" w:type="dxa"/>
          </w:tcPr>
          <w:p w:rsidR="003062F0" w:rsidRPr="00E22465" w:rsidRDefault="00AB492F" w:rsidP="00AE04A4">
            <w:pPr>
              <w:rPr>
                <w:rFonts w:ascii="Arial" w:hAnsi="Arial" w:cs="Arial"/>
                <w:sz w:val="20"/>
                <w:szCs w:val="20"/>
              </w:rPr>
            </w:pPr>
            <w:r>
              <w:rPr>
                <w:rFonts w:ascii="Arial" w:hAnsi="Arial" w:cs="Arial"/>
                <w:sz w:val="20"/>
                <w:szCs w:val="20"/>
              </w:rPr>
              <w:t>OP</w:t>
            </w:r>
          </w:p>
        </w:tc>
        <w:tc>
          <w:tcPr>
            <w:tcW w:w="990" w:type="dxa"/>
          </w:tcPr>
          <w:p w:rsidR="003062F0" w:rsidRPr="00E22465" w:rsidRDefault="00BE2B5F" w:rsidP="00AE04A4">
            <w:pPr>
              <w:rPr>
                <w:rFonts w:ascii="Arial" w:hAnsi="Arial" w:cs="Arial"/>
                <w:sz w:val="20"/>
                <w:szCs w:val="20"/>
              </w:rPr>
            </w:pPr>
            <w:r>
              <w:rPr>
                <w:rFonts w:ascii="Arial" w:hAnsi="Arial" w:cs="Arial"/>
                <w:sz w:val="20"/>
                <w:szCs w:val="20"/>
              </w:rPr>
              <w:t>January 2020</w:t>
            </w:r>
          </w:p>
        </w:tc>
        <w:tc>
          <w:tcPr>
            <w:tcW w:w="1144" w:type="dxa"/>
          </w:tcPr>
          <w:p w:rsidR="003062F0" w:rsidRPr="00E22465" w:rsidRDefault="00BE2B5F" w:rsidP="00AE04A4">
            <w:pPr>
              <w:rPr>
                <w:rFonts w:ascii="Arial" w:hAnsi="Arial" w:cs="Arial"/>
                <w:sz w:val="20"/>
                <w:szCs w:val="20"/>
              </w:rPr>
            </w:pPr>
            <w:r>
              <w:rPr>
                <w:rFonts w:ascii="Arial" w:hAnsi="Arial" w:cs="Arial"/>
                <w:sz w:val="20"/>
                <w:szCs w:val="20"/>
              </w:rPr>
              <w:t>December 2020</w:t>
            </w:r>
          </w:p>
        </w:tc>
        <w:tc>
          <w:tcPr>
            <w:tcW w:w="1646" w:type="dxa"/>
          </w:tcPr>
          <w:p w:rsidR="003062F0" w:rsidRPr="00E22465" w:rsidRDefault="00426E93" w:rsidP="00AE04A4">
            <w:pPr>
              <w:rPr>
                <w:rFonts w:ascii="Arial" w:hAnsi="Arial" w:cs="Arial"/>
                <w:sz w:val="20"/>
                <w:szCs w:val="20"/>
              </w:rPr>
            </w:pPr>
            <w:r>
              <w:rPr>
                <w:rFonts w:ascii="Arial" w:hAnsi="Arial" w:cs="Arial"/>
                <w:sz w:val="20"/>
                <w:szCs w:val="20"/>
              </w:rPr>
              <w:t>Not implemented</w:t>
            </w:r>
          </w:p>
        </w:tc>
        <w:tc>
          <w:tcPr>
            <w:tcW w:w="1260" w:type="dxa"/>
          </w:tcPr>
          <w:p w:rsidR="003062F0" w:rsidRPr="00E22465" w:rsidRDefault="00BE2B5F" w:rsidP="00AE04A4">
            <w:pPr>
              <w:rPr>
                <w:rFonts w:ascii="Arial" w:hAnsi="Arial" w:cs="Arial"/>
                <w:sz w:val="20"/>
                <w:szCs w:val="20"/>
              </w:rPr>
            </w:pPr>
            <w:r>
              <w:rPr>
                <w:rFonts w:ascii="Arial" w:hAnsi="Arial" w:cs="Arial"/>
                <w:sz w:val="20"/>
                <w:szCs w:val="20"/>
              </w:rPr>
              <w:t>Financial constraint</w:t>
            </w:r>
          </w:p>
        </w:tc>
        <w:tc>
          <w:tcPr>
            <w:tcW w:w="2380" w:type="dxa"/>
          </w:tcPr>
          <w:p w:rsidR="00894158" w:rsidRPr="00E22465" w:rsidRDefault="00894158" w:rsidP="00894158">
            <w:pPr>
              <w:rPr>
                <w:rFonts w:ascii="Arial" w:hAnsi="Arial" w:cs="Arial"/>
                <w:sz w:val="20"/>
                <w:szCs w:val="20"/>
              </w:rPr>
            </w:pPr>
            <w:r w:rsidRPr="00E22465">
              <w:rPr>
                <w:rFonts w:ascii="Arial" w:hAnsi="Arial" w:cs="Arial"/>
                <w:sz w:val="20"/>
                <w:szCs w:val="20"/>
              </w:rPr>
              <w:t xml:space="preserve">It is reiterated that the Academy has fund constraints so as a possible solution, a request for reconsideration to the DBM was prepared again to at least subsidize the DAP’s cost of audit to pay COA.  </w:t>
            </w:r>
          </w:p>
          <w:p w:rsidR="00894158" w:rsidRPr="00E22465" w:rsidRDefault="00894158" w:rsidP="00894158">
            <w:pPr>
              <w:rPr>
                <w:rFonts w:ascii="Arial" w:hAnsi="Arial" w:cs="Arial"/>
                <w:sz w:val="20"/>
                <w:szCs w:val="20"/>
              </w:rPr>
            </w:pPr>
          </w:p>
          <w:p w:rsidR="003062F0" w:rsidRPr="00E22465" w:rsidRDefault="00894158" w:rsidP="00894158">
            <w:pPr>
              <w:rPr>
                <w:rFonts w:ascii="Arial" w:hAnsi="Arial" w:cs="Arial"/>
                <w:sz w:val="20"/>
                <w:szCs w:val="20"/>
              </w:rPr>
            </w:pPr>
            <w:r w:rsidRPr="00E22465">
              <w:rPr>
                <w:rFonts w:ascii="Arial" w:hAnsi="Arial" w:cs="Arial"/>
                <w:sz w:val="20"/>
                <w:szCs w:val="20"/>
              </w:rPr>
              <w:t xml:space="preserve">Please be informed that the DBM’s reply to our first </w:t>
            </w:r>
            <w:proofErr w:type="spellStart"/>
            <w:r w:rsidRPr="00E22465">
              <w:rPr>
                <w:rFonts w:ascii="Arial" w:hAnsi="Arial" w:cs="Arial"/>
                <w:sz w:val="20"/>
                <w:szCs w:val="20"/>
              </w:rPr>
              <w:t>lettert</w:t>
            </w:r>
            <w:proofErr w:type="spellEnd"/>
            <w:r w:rsidRPr="00E22465">
              <w:rPr>
                <w:rFonts w:ascii="Arial" w:hAnsi="Arial" w:cs="Arial"/>
                <w:sz w:val="20"/>
                <w:szCs w:val="20"/>
              </w:rPr>
              <w:t xml:space="preserve"> recommended that the Academy: (a) prepare aging and request for write-off amounts obligated for more than 10 years; (b) reconcile and discuss with COA a reasonable payment scheme; and </w:t>
            </w:r>
            <w:r w:rsidRPr="00E22465">
              <w:rPr>
                <w:rFonts w:ascii="Arial" w:hAnsi="Arial" w:cs="Arial"/>
                <w:sz w:val="20"/>
                <w:szCs w:val="20"/>
              </w:rPr>
              <w:lastRenderedPageBreak/>
              <w:t xml:space="preserve">(c) settle the latest assessment.  Also, the matter will be elevated to </w:t>
            </w:r>
            <w:r w:rsidR="00230A73">
              <w:rPr>
                <w:rFonts w:ascii="Arial" w:hAnsi="Arial" w:cs="Arial"/>
                <w:sz w:val="20"/>
                <w:szCs w:val="20"/>
              </w:rPr>
              <w:t>the Academy’s Board of Trustees for the next steps to be adopted.</w:t>
            </w:r>
          </w:p>
        </w:tc>
      </w:tr>
      <w:tr w:rsidR="003062F0" w:rsidRPr="00E22465" w:rsidTr="007D01AA">
        <w:tc>
          <w:tcPr>
            <w:tcW w:w="648" w:type="dxa"/>
          </w:tcPr>
          <w:p w:rsidR="003062F0" w:rsidRPr="00E22465" w:rsidRDefault="003062F0" w:rsidP="00AD6246">
            <w:pPr>
              <w:jc w:val="center"/>
              <w:rPr>
                <w:rFonts w:ascii="Arial" w:hAnsi="Arial" w:cs="Arial"/>
                <w:b/>
                <w:sz w:val="20"/>
                <w:szCs w:val="20"/>
              </w:rPr>
            </w:pPr>
            <w:r w:rsidRPr="00E22465">
              <w:rPr>
                <w:rFonts w:ascii="Arial" w:hAnsi="Arial" w:cs="Arial"/>
                <w:b/>
                <w:sz w:val="20"/>
                <w:szCs w:val="20"/>
              </w:rPr>
              <w:lastRenderedPageBreak/>
              <w:t>11</w:t>
            </w:r>
          </w:p>
        </w:tc>
        <w:tc>
          <w:tcPr>
            <w:tcW w:w="3294" w:type="dxa"/>
          </w:tcPr>
          <w:p w:rsidR="003062F0" w:rsidRPr="00E22465" w:rsidRDefault="003F4421" w:rsidP="00AE04A4">
            <w:pPr>
              <w:rPr>
                <w:rFonts w:ascii="Arial" w:hAnsi="Arial" w:cs="Arial"/>
                <w:sz w:val="20"/>
                <w:szCs w:val="20"/>
              </w:rPr>
            </w:pPr>
            <w:r w:rsidRPr="00E22465">
              <w:rPr>
                <w:rFonts w:ascii="Arial" w:hAnsi="Arial" w:cs="Arial"/>
                <w:sz w:val="20"/>
                <w:szCs w:val="20"/>
              </w:rPr>
              <w:t>Treasury personnel who are performing the functions of Collecting Officers are not bonded, contrary to the provisions of Section 101 of PD No 1445 and Sections 4.1 and 5.1 of Treasury Circular No. 02-2009 dated               August 6, 2009 and exposing the Academy to risk of non-indemnification in case of loss of government funds through any form of dishonesty on the part of the accountable officer/employee.</w:t>
            </w:r>
          </w:p>
        </w:tc>
        <w:tc>
          <w:tcPr>
            <w:tcW w:w="3060" w:type="dxa"/>
          </w:tcPr>
          <w:p w:rsidR="003F4421" w:rsidRPr="00E22465" w:rsidRDefault="003F4421" w:rsidP="003F4421">
            <w:pPr>
              <w:rPr>
                <w:rFonts w:ascii="Arial" w:hAnsi="Arial" w:cs="Arial"/>
                <w:sz w:val="20"/>
                <w:szCs w:val="20"/>
              </w:rPr>
            </w:pPr>
            <w:r w:rsidRPr="00E22465">
              <w:rPr>
                <w:rFonts w:ascii="Arial" w:hAnsi="Arial" w:cs="Arial"/>
                <w:sz w:val="20"/>
                <w:szCs w:val="20"/>
              </w:rPr>
              <w:t xml:space="preserve">We recommended that Management strictly comply with the provisions of Section 101 of PD No. 1445 and Sections 4.1 and 5.1 of Treasury Circular No. 02-2009 dated August 6, 2009 on the bonding of </w:t>
            </w:r>
            <w:proofErr w:type="gramStart"/>
            <w:r w:rsidRPr="00E22465">
              <w:rPr>
                <w:rFonts w:ascii="Arial" w:hAnsi="Arial" w:cs="Arial"/>
                <w:sz w:val="20"/>
                <w:szCs w:val="20"/>
              </w:rPr>
              <w:t>accountable</w:t>
            </w:r>
            <w:proofErr w:type="gramEnd"/>
            <w:r w:rsidRPr="00E22465">
              <w:rPr>
                <w:rFonts w:ascii="Arial" w:hAnsi="Arial" w:cs="Arial"/>
                <w:sz w:val="20"/>
                <w:szCs w:val="20"/>
              </w:rPr>
              <w:t xml:space="preserve"> officers.</w:t>
            </w:r>
          </w:p>
          <w:p w:rsidR="003F4421" w:rsidRPr="00E22465" w:rsidRDefault="003F4421" w:rsidP="003F4421">
            <w:pPr>
              <w:rPr>
                <w:rFonts w:ascii="Arial" w:hAnsi="Arial" w:cs="Arial"/>
                <w:sz w:val="20"/>
                <w:szCs w:val="20"/>
              </w:rPr>
            </w:pPr>
          </w:p>
          <w:p w:rsidR="003062F0" w:rsidRPr="00E22465" w:rsidRDefault="003F4421" w:rsidP="003F4421">
            <w:pPr>
              <w:rPr>
                <w:rFonts w:ascii="Arial" w:hAnsi="Arial" w:cs="Arial"/>
                <w:sz w:val="20"/>
                <w:szCs w:val="20"/>
              </w:rPr>
            </w:pPr>
            <w:r w:rsidRPr="00E22465">
              <w:rPr>
                <w:rFonts w:ascii="Arial" w:hAnsi="Arial" w:cs="Arial"/>
                <w:sz w:val="20"/>
                <w:szCs w:val="20"/>
              </w:rPr>
              <w:t>Management commented that the Cash Collecting Officer is now bonded. The Academy is now processing the bonding requirement of the Collector who collects directly from the clients.</w:t>
            </w:r>
          </w:p>
        </w:tc>
        <w:tc>
          <w:tcPr>
            <w:tcW w:w="1350" w:type="dxa"/>
          </w:tcPr>
          <w:p w:rsidR="003062F0" w:rsidRPr="00E22465" w:rsidRDefault="003062F0" w:rsidP="00AE04A4">
            <w:pPr>
              <w:rPr>
                <w:rFonts w:ascii="Arial" w:hAnsi="Arial" w:cs="Arial"/>
                <w:sz w:val="20"/>
                <w:szCs w:val="20"/>
              </w:rPr>
            </w:pPr>
          </w:p>
        </w:tc>
        <w:tc>
          <w:tcPr>
            <w:tcW w:w="1530" w:type="dxa"/>
          </w:tcPr>
          <w:p w:rsidR="003062F0" w:rsidRPr="00E22465" w:rsidRDefault="003062F0" w:rsidP="00AE04A4">
            <w:pPr>
              <w:rPr>
                <w:rFonts w:ascii="Arial" w:hAnsi="Arial" w:cs="Arial"/>
                <w:sz w:val="20"/>
                <w:szCs w:val="20"/>
              </w:rPr>
            </w:pPr>
          </w:p>
        </w:tc>
        <w:tc>
          <w:tcPr>
            <w:tcW w:w="990" w:type="dxa"/>
          </w:tcPr>
          <w:p w:rsidR="003062F0" w:rsidRPr="00E22465" w:rsidRDefault="005130DE" w:rsidP="00AE04A4">
            <w:pPr>
              <w:rPr>
                <w:rFonts w:ascii="Arial" w:hAnsi="Arial" w:cs="Arial"/>
                <w:sz w:val="20"/>
                <w:szCs w:val="20"/>
              </w:rPr>
            </w:pPr>
            <w:r>
              <w:rPr>
                <w:rFonts w:ascii="Arial" w:hAnsi="Arial" w:cs="Arial"/>
                <w:sz w:val="20"/>
                <w:szCs w:val="20"/>
              </w:rPr>
              <w:t>May 2019</w:t>
            </w:r>
          </w:p>
        </w:tc>
        <w:tc>
          <w:tcPr>
            <w:tcW w:w="1144" w:type="dxa"/>
          </w:tcPr>
          <w:p w:rsidR="003062F0" w:rsidRPr="00E22465" w:rsidRDefault="003062F0" w:rsidP="00AE04A4">
            <w:pPr>
              <w:rPr>
                <w:rFonts w:ascii="Arial" w:hAnsi="Arial" w:cs="Arial"/>
                <w:sz w:val="20"/>
                <w:szCs w:val="20"/>
              </w:rPr>
            </w:pPr>
          </w:p>
        </w:tc>
        <w:tc>
          <w:tcPr>
            <w:tcW w:w="1646" w:type="dxa"/>
          </w:tcPr>
          <w:p w:rsidR="003062F0" w:rsidRPr="00E22465" w:rsidRDefault="0018744C" w:rsidP="00AE04A4">
            <w:pPr>
              <w:rPr>
                <w:rFonts w:ascii="Arial" w:hAnsi="Arial" w:cs="Arial"/>
                <w:sz w:val="20"/>
                <w:szCs w:val="20"/>
              </w:rPr>
            </w:pPr>
            <w:r w:rsidRPr="00E22465">
              <w:rPr>
                <w:rFonts w:ascii="Arial" w:hAnsi="Arial" w:cs="Arial"/>
                <w:sz w:val="20"/>
                <w:szCs w:val="20"/>
              </w:rPr>
              <w:t>Fully implemented</w:t>
            </w:r>
          </w:p>
        </w:tc>
        <w:tc>
          <w:tcPr>
            <w:tcW w:w="1260" w:type="dxa"/>
          </w:tcPr>
          <w:p w:rsidR="003062F0" w:rsidRPr="00E22465" w:rsidRDefault="003062F0" w:rsidP="00AE04A4">
            <w:pPr>
              <w:rPr>
                <w:rFonts w:ascii="Arial" w:hAnsi="Arial" w:cs="Arial"/>
                <w:sz w:val="20"/>
                <w:szCs w:val="20"/>
              </w:rPr>
            </w:pPr>
          </w:p>
        </w:tc>
        <w:tc>
          <w:tcPr>
            <w:tcW w:w="2380" w:type="dxa"/>
          </w:tcPr>
          <w:p w:rsidR="003062F0" w:rsidRPr="00E22465" w:rsidRDefault="00894158" w:rsidP="00AE04A4">
            <w:pPr>
              <w:rPr>
                <w:rFonts w:ascii="Arial" w:hAnsi="Arial" w:cs="Arial"/>
                <w:sz w:val="20"/>
                <w:szCs w:val="20"/>
              </w:rPr>
            </w:pPr>
            <w:r w:rsidRPr="00E22465">
              <w:rPr>
                <w:rFonts w:ascii="Arial" w:hAnsi="Arial" w:cs="Arial"/>
                <w:sz w:val="20"/>
                <w:szCs w:val="20"/>
              </w:rPr>
              <w:t xml:space="preserve">The </w:t>
            </w:r>
            <w:proofErr w:type="gramStart"/>
            <w:r w:rsidRPr="00E22465">
              <w:rPr>
                <w:rFonts w:ascii="Arial" w:hAnsi="Arial" w:cs="Arial"/>
                <w:sz w:val="20"/>
                <w:szCs w:val="20"/>
              </w:rPr>
              <w:t>accountable</w:t>
            </w:r>
            <w:proofErr w:type="gramEnd"/>
            <w:r w:rsidRPr="00E22465">
              <w:rPr>
                <w:rFonts w:ascii="Arial" w:hAnsi="Arial" w:cs="Arial"/>
                <w:sz w:val="20"/>
                <w:szCs w:val="20"/>
              </w:rPr>
              <w:t xml:space="preserve"> officer, Mr. Emerson Javier has been bonded effective 22 May 2019.</w:t>
            </w:r>
          </w:p>
        </w:tc>
      </w:tr>
      <w:tr w:rsidR="0018744C" w:rsidRPr="00E22465" w:rsidTr="007D01AA">
        <w:tc>
          <w:tcPr>
            <w:tcW w:w="648" w:type="dxa"/>
          </w:tcPr>
          <w:p w:rsidR="0018744C" w:rsidRPr="00E22465" w:rsidRDefault="008066F2" w:rsidP="00AD6246">
            <w:pPr>
              <w:jc w:val="center"/>
              <w:rPr>
                <w:rFonts w:ascii="Arial" w:hAnsi="Arial" w:cs="Arial"/>
                <w:b/>
                <w:sz w:val="20"/>
                <w:szCs w:val="20"/>
              </w:rPr>
            </w:pPr>
            <w:r w:rsidRPr="00E22465">
              <w:rPr>
                <w:rFonts w:ascii="Arial" w:hAnsi="Arial" w:cs="Arial"/>
                <w:b/>
                <w:sz w:val="20"/>
                <w:szCs w:val="20"/>
              </w:rPr>
              <w:t>12</w:t>
            </w:r>
          </w:p>
        </w:tc>
        <w:tc>
          <w:tcPr>
            <w:tcW w:w="3294" w:type="dxa"/>
          </w:tcPr>
          <w:p w:rsidR="0018744C" w:rsidRPr="00E22465" w:rsidRDefault="00707C9E" w:rsidP="00AE04A4">
            <w:pPr>
              <w:rPr>
                <w:rFonts w:ascii="Arial" w:hAnsi="Arial" w:cs="Arial"/>
                <w:sz w:val="20"/>
                <w:szCs w:val="20"/>
              </w:rPr>
            </w:pPr>
            <w:r w:rsidRPr="00E22465">
              <w:rPr>
                <w:rFonts w:ascii="Arial" w:hAnsi="Arial" w:cs="Arial"/>
                <w:sz w:val="20"/>
                <w:szCs w:val="20"/>
              </w:rPr>
              <w:t>Advance payment of P3.969 million to a contractor of 15 per cent of the total contract price has not been recouped by the Academy despite the termination of the contract on December 20, 2012, depriving the DAP of additional resources for its operation.</w:t>
            </w:r>
          </w:p>
        </w:tc>
        <w:tc>
          <w:tcPr>
            <w:tcW w:w="3060" w:type="dxa"/>
          </w:tcPr>
          <w:p w:rsidR="0018744C" w:rsidRPr="00E22465" w:rsidRDefault="00707C9E" w:rsidP="008066F2">
            <w:pPr>
              <w:rPr>
                <w:rFonts w:ascii="Arial" w:hAnsi="Arial" w:cs="Arial"/>
                <w:sz w:val="20"/>
                <w:szCs w:val="20"/>
              </w:rPr>
            </w:pPr>
            <w:r w:rsidRPr="00E22465">
              <w:rPr>
                <w:rFonts w:ascii="Arial" w:hAnsi="Arial" w:cs="Arial"/>
                <w:sz w:val="20"/>
                <w:szCs w:val="20"/>
              </w:rPr>
              <w:t>We recommended that Management exert all efforts to recover from the contractor the advance payment amounting to P3.969 million.  If warranted, file a collection case against the said contractor.</w:t>
            </w:r>
          </w:p>
        </w:tc>
        <w:tc>
          <w:tcPr>
            <w:tcW w:w="1350" w:type="dxa"/>
          </w:tcPr>
          <w:p w:rsidR="0018744C" w:rsidRPr="00E22465" w:rsidRDefault="0018744C" w:rsidP="00AE04A4">
            <w:pPr>
              <w:rPr>
                <w:rFonts w:ascii="Arial" w:hAnsi="Arial" w:cs="Arial"/>
                <w:sz w:val="20"/>
                <w:szCs w:val="20"/>
              </w:rPr>
            </w:pPr>
          </w:p>
        </w:tc>
        <w:tc>
          <w:tcPr>
            <w:tcW w:w="1530" w:type="dxa"/>
          </w:tcPr>
          <w:p w:rsidR="0018744C" w:rsidRPr="00E22465" w:rsidRDefault="0018744C" w:rsidP="00AE04A4">
            <w:pPr>
              <w:rPr>
                <w:rFonts w:ascii="Arial" w:hAnsi="Arial" w:cs="Arial"/>
                <w:sz w:val="20"/>
                <w:szCs w:val="20"/>
              </w:rPr>
            </w:pPr>
          </w:p>
        </w:tc>
        <w:tc>
          <w:tcPr>
            <w:tcW w:w="990" w:type="dxa"/>
          </w:tcPr>
          <w:p w:rsidR="0018744C" w:rsidRDefault="00E66BC0" w:rsidP="00AE04A4">
            <w:pPr>
              <w:rPr>
                <w:rFonts w:ascii="Arial" w:hAnsi="Arial" w:cs="Arial"/>
                <w:sz w:val="20"/>
                <w:szCs w:val="20"/>
              </w:rPr>
            </w:pPr>
            <w:r>
              <w:rPr>
                <w:rFonts w:ascii="Arial" w:hAnsi="Arial" w:cs="Arial"/>
                <w:sz w:val="20"/>
                <w:szCs w:val="20"/>
              </w:rPr>
              <w:t>May 2019</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Pr="00E22465" w:rsidRDefault="00E66BC0" w:rsidP="00AE04A4">
            <w:pPr>
              <w:rPr>
                <w:rFonts w:ascii="Arial" w:hAnsi="Arial" w:cs="Arial"/>
                <w:sz w:val="20"/>
                <w:szCs w:val="20"/>
              </w:rPr>
            </w:pPr>
          </w:p>
        </w:tc>
        <w:tc>
          <w:tcPr>
            <w:tcW w:w="1144" w:type="dxa"/>
          </w:tcPr>
          <w:p w:rsidR="0018744C" w:rsidRPr="00E22465" w:rsidRDefault="0018744C" w:rsidP="00AE04A4">
            <w:pPr>
              <w:rPr>
                <w:rFonts w:ascii="Arial" w:hAnsi="Arial" w:cs="Arial"/>
                <w:sz w:val="20"/>
                <w:szCs w:val="20"/>
              </w:rPr>
            </w:pPr>
          </w:p>
        </w:tc>
        <w:tc>
          <w:tcPr>
            <w:tcW w:w="1646" w:type="dxa"/>
          </w:tcPr>
          <w:p w:rsidR="0018744C" w:rsidRPr="00E22465" w:rsidRDefault="008066F2" w:rsidP="00AE04A4">
            <w:pPr>
              <w:rPr>
                <w:rFonts w:ascii="Arial" w:hAnsi="Arial" w:cs="Arial"/>
                <w:sz w:val="20"/>
                <w:szCs w:val="20"/>
              </w:rPr>
            </w:pPr>
            <w:r w:rsidRPr="00E22465">
              <w:rPr>
                <w:rFonts w:ascii="Arial" w:hAnsi="Arial" w:cs="Arial"/>
                <w:sz w:val="20"/>
                <w:szCs w:val="20"/>
              </w:rPr>
              <w:t>Fully implemented</w:t>
            </w:r>
          </w:p>
        </w:tc>
        <w:tc>
          <w:tcPr>
            <w:tcW w:w="1260" w:type="dxa"/>
          </w:tcPr>
          <w:p w:rsidR="0018744C" w:rsidRPr="00E22465" w:rsidRDefault="0018744C" w:rsidP="00AE04A4">
            <w:pPr>
              <w:rPr>
                <w:rFonts w:ascii="Arial" w:hAnsi="Arial" w:cs="Arial"/>
                <w:sz w:val="20"/>
                <w:szCs w:val="20"/>
              </w:rPr>
            </w:pPr>
          </w:p>
        </w:tc>
        <w:tc>
          <w:tcPr>
            <w:tcW w:w="2380" w:type="dxa"/>
          </w:tcPr>
          <w:p w:rsidR="00894158" w:rsidRPr="00E22465" w:rsidRDefault="00894158" w:rsidP="00894158">
            <w:pPr>
              <w:rPr>
                <w:rFonts w:ascii="Arial" w:hAnsi="Arial" w:cs="Arial"/>
                <w:sz w:val="20"/>
                <w:szCs w:val="20"/>
              </w:rPr>
            </w:pPr>
            <w:r w:rsidRPr="00E22465">
              <w:rPr>
                <w:rFonts w:ascii="Arial" w:hAnsi="Arial" w:cs="Arial"/>
                <w:sz w:val="20"/>
                <w:szCs w:val="20"/>
              </w:rPr>
              <w:t>The amount of ₱3,968,556.47 is the balance of the mobilization fee that the Academy paid to the ACS Development and Property Managers, Inc. (ACSDPMI).</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As this contractor did not complete this project and no payment was made after its first billing, the Academy was unable to recoup the said amount.</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 xml:space="preserve">However, we have supporting data which when consolidated will be more than enough recoupment of the said </w:t>
            </w:r>
            <w:r w:rsidRPr="00E22465">
              <w:rPr>
                <w:rFonts w:ascii="Arial" w:hAnsi="Arial" w:cs="Arial"/>
                <w:sz w:val="20"/>
                <w:szCs w:val="20"/>
              </w:rPr>
              <w:lastRenderedPageBreak/>
              <w:t>mobilization fee, as follows:</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a. The 10% retention fee on the first billing of ACSDPMI amounting to ₱751,751.55;</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b. the unpaid actual accomplishment of ACSDPMI  in the amount of ₱2,726,863.35 by the Academy in 2012; and</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proofErr w:type="gramStart"/>
            <w:r w:rsidRPr="00E22465">
              <w:rPr>
                <w:rFonts w:ascii="Arial" w:hAnsi="Arial" w:cs="Arial"/>
                <w:sz w:val="20"/>
                <w:szCs w:val="20"/>
              </w:rPr>
              <w:t>c</w:t>
            </w:r>
            <w:proofErr w:type="gramEnd"/>
            <w:r w:rsidRPr="00E22465">
              <w:rPr>
                <w:rFonts w:ascii="Arial" w:hAnsi="Arial" w:cs="Arial"/>
                <w:sz w:val="20"/>
                <w:szCs w:val="20"/>
              </w:rPr>
              <w:t>. the cost of unused construction materials accounted for by the Academy’s Engineering Services in the amount of approximately ₱995,000.00 brought and left in the Academy by  the ACSDPMI and later used by the Academy for the unfinished project.</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 xml:space="preserve">Items a-c amounted </w:t>
            </w:r>
            <w:proofErr w:type="gramStart"/>
            <w:r w:rsidRPr="00E22465">
              <w:rPr>
                <w:rFonts w:ascii="Arial" w:hAnsi="Arial" w:cs="Arial"/>
                <w:sz w:val="20"/>
                <w:szCs w:val="20"/>
              </w:rPr>
              <w:t>to  ₱</w:t>
            </w:r>
            <w:proofErr w:type="gramEnd"/>
            <w:r w:rsidRPr="00E22465">
              <w:rPr>
                <w:rFonts w:ascii="Arial" w:hAnsi="Arial" w:cs="Arial"/>
                <w:sz w:val="20"/>
                <w:szCs w:val="20"/>
              </w:rPr>
              <w:t xml:space="preserve">4,473,614.90. This is more than the total mobilization fee balance of ₱3,968,556.47 or an excess of ₱505,058.43. </w:t>
            </w:r>
          </w:p>
          <w:p w:rsidR="00894158" w:rsidRPr="00E22465" w:rsidRDefault="00894158" w:rsidP="00894158">
            <w:pPr>
              <w:rPr>
                <w:rFonts w:ascii="Arial" w:hAnsi="Arial" w:cs="Arial"/>
                <w:sz w:val="20"/>
                <w:szCs w:val="20"/>
              </w:rPr>
            </w:pPr>
          </w:p>
          <w:p w:rsidR="0018744C" w:rsidRPr="00E22465" w:rsidRDefault="00894158" w:rsidP="00AE04A4">
            <w:pPr>
              <w:rPr>
                <w:rFonts w:ascii="Arial" w:hAnsi="Arial" w:cs="Arial"/>
                <w:sz w:val="20"/>
                <w:szCs w:val="20"/>
              </w:rPr>
            </w:pPr>
            <w:r w:rsidRPr="00E22465">
              <w:rPr>
                <w:rFonts w:ascii="Arial" w:hAnsi="Arial" w:cs="Arial"/>
                <w:sz w:val="20"/>
                <w:szCs w:val="20"/>
              </w:rPr>
              <w:t>The recoupment of the mobilization fee balance of ₱3,968,556.47 has been recorded per attached JEV Nos. 19-05-0580, 19-05-0581, and 19-05-0582.</w:t>
            </w:r>
          </w:p>
        </w:tc>
      </w:tr>
      <w:tr w:rsidR="0018744C" w:rsidRPr="00E22465" w:rsidTr="007D01AA">
        <w:tc>
          <w:tcPr>
            <w:tcW w:w="648" w:type="dxa"/>
          </w:tcPr>
          <w:p w:rsidR="00D55FD9" w:rsidRDefault="00D55FD9" w:rsidP="00AD6246">
            <w:pPr>
              <w:jc w:val="center"/>
              <w:rPr>
                <w:rFonts w:ascii="Arial" w:hAnsi="Arial" w:cs="Arial"/>
                <w:b/>
                <w:sz w:val="20"/>
                <w:szCs w:val="20"/>
              </w:rPr>
            </w:pPr>
          </w:p>
          <w:p w:rsidR="0018744C" w:rsidRPr="00E22465" w:rsidRDefault="00626DF0" w:rsidP="00AD6246">
            <w:pPr>
              <w:jc w:val="center"/>
              <w:rPr>
                <w:rFonts w:ascii="Arial" w:hAnsi="Arial" w:cs="Arial"/>
                <w:b/>
                <w:sz w:val="20"/>
                <w:szCs w:val="20"/>
              </w:rPr>
            </w:pPr>
            <w:r w:rsidRPr="00E22465">
              <w:rPr>
                <w:rFonts w:ascii="Arial" w:hAnsi="Arial" w:cs="Arial"/>
                <w:b/>
                <w:sz w:val="20"/>
                <w:szCs w:val="20"/>
              </w:rPr>
              <w:lastRenderedPageBreak/>
              <w:t>13</w:t>
            </w:r>
          </w:p>
        </w:tc>
        <w:tc>
          <w:tcPr>
            <w:tcW w:w="3294" w:type="dxa"/>
          </w:tcPr>
          <w:p w:rsidR="00D55FD9" w:rsidRDefault="00D55FD9" w:rsidP="00AE04A4">
            <w:pPr>
              <w:rPr>
                <w:rFonts w:ascii="Arial" w:hAnsi="Arial" w:cs="Arial"/>
                <w:sz w:val="20"/>
                <w:szCs w:val="20"/>
              </w:rPr>
            </w:pPr>
          </w:p>
          <w:p w:rsidR="0018744C" w:rsidRPr="00E22465" w:rsidRDefault="00707C9E" w:rsidP="00AE04A4">
            <w:pPr>
              <w:rPr>
                <w:rFonts w:ascii="Arial" w:hAnsi="Arial" w:cs="Arial"/>
                <w:sz w:val="20"/>
                <w:szCs w:val="20"/>
              </w:rPr>
            </w:pPr>
            <w:r w:rsidRPr="00E22465">
              <w:rPr>
                <w:rFonts w:ascii="Arial" w:hAnsi="Arial" w:cs="Arial"/>
                <w:sz w:val="20"/>
                <w:szCs w:val="20"/>
              </w:rPr>
              <w:lastRenderedPageBreak/>
              <w:t>The CY 2018 GAD Plan and Budget (GPB) of the Academy was not prepared and submitted for endorsement to the Philippine Commission on Women (PCW) as required under Joint Circular No. 2012-01 issued by the PCW-National Economic and Development Authority (NEDA)-Department of Budget and Management (DBM), thus the PCW was not able to assess and review the Academy’s GPB and GAD Accomplishment Report (AR).</w:t>
            </w:r>
          </w:p>
        </w:tc>
        <w:tc>
          <w:tcPr>
            <w:tcW w:w="3060" w:type="dxa"/>
          </w:tcPr>
          <w:p w:rsidR="00D55FD9" w:rsidRDefault="00D55FD9" w:rsidP="00707C9E">
            <w:pPr>
              <w:rPr>
                <w:rFonts w:ascii="Arial" w:hAnsi="Arial" w:cs="Arial"/>
                <w:sz w:val="20"/>
                <w:szCs w:val="20"/>
              </w:rPr>
            </w:pPr>
          </w:p>
          <w:p w:rsidR="00707C9E" w:rsidRPr="00E22465" w:rsidRDefault="00707C9E" w:rsidP="00707C9E">
            <w:pPr>
              <w:rPr>
                <w:rFonts w:ascii="Arial" w:hAnsi="Arial" w:cs="Arial"/>
                <w:sz w:val="20"/>
                <w:szCs w:val="20"/>
              </w:rPr>
            </w:pPr>
            <w:r w:rsidRPr="00E22465">
              <w:rPr>
                <w:rFonts w:ascii="Arial" w:hAnsi="Arial" w:cs="Arial"/>
                <w:sz w:val="20"/>
                <w:szCs w:val="20"/>
              </w:rPr>
              <w:lastRenderedPageBreak/>
              <w:t>We recommended that Management:</w:t>
            </w: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r w:rsidRPr="00E22465">
              <w:rPr>
                <w:rFonts w:ascii="Arial" w:hAnsi="Arial" w:cs="Arial"/>
                <w:sz w:val="20"/>
                <w:szCs w:val="20"/>
              </w:rPr>
              <w:t>a. Strictly comply with the provisions of the EO No. 273, PCW-NEDA-DBM Joint Circular No. 2012-01, COA Circular No. 2014-01, and PCW Memorandum Circulars;</w:t>
            </w: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27445D" w:rsidRDefault="0027445D" w:rsidP="00707C9E">
            <w:pPr>
              <w:rPr>
                <w:rFonts w:ascii="Arial" w:hAnsi="Arial" w:cs="Arial"/>
                <w:sz w:val="20"/>
                <w:szCs w:val="20"/>
              </w:rPr>
            </w:pPr>
          </w:p>
          <w:p w:rsidR="0027445D" w:rsidRDefault="0027445D" w:rsidP="00707C9E">
            <w:pPr>
              <w:rPr>
                <w:rFonts w:ascii="Arial" w:hAnsi="Arial" w:cs="Arial"/>
                <w:sz w:val="20"/>
                <w:szCs w:val="20"/>
              </w:rPr>
            </w:pPr>
          </w:p>
          <w:p w:rsidR="00707C9E" w:rsidRPr="00E22465" w:rsidRDefault="00707C9E" w:rsidP="00707C9E">
            <w:pPr>
              <w:rPr>
                <w:rFonts w:ascii="Arial" w:hAnsi="Arial" w:cs="Arial"/>
                <w:sz w:val="20"/>
                <w:szCs w:val="20"/>
              </w:rPr>
            </w:pPr>
            <w:r w:rsidRPr="00E22465">
              <w:rPr>
                <w:rFonts w:ascii="Arial" w:hAnsi="Arial" w:cs="Arial"/>
                <w:sz w:val="20"/>
                <w:szCs w:val="20"/>
              </w:rPr>
              <w:t>b. Ensure that the GAD focal persons are adequately trained to prepare GPB and GAD AR; and</w:t>
            </w: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707C9E" w:rsidRPr="00E22465" w:rsidRDefault="00707C9E" w:rsidP="00707C9E">
            <w:pPr>
              <w:rPr>
                <w:rFonts w:ascii="Arial" w:hAnsi="Arial" w:cs="Arial"/>
                <w:sz w:val="20"/>
                <w:szCs w:val="20"/>
              </w:rPr>
            </w:pPr>
          </w:p>
          <w:p w:rsidR="00206119" w:rsidRPr="00E22465" w:rsidRDefault="00206119" w:rsidP="00707C9E">
            <w:pPr>
              <w:rPr>
                <w:rFonts w:ascii="Arial" w:hAnsi="Arial" w:cs="Arial"/>
                <w:sz w:val="20"/>
                <w:szCs w:val="20"/>
              </w:rPr>
            </w:pPr>
          </w:p>
          <w:p w:rsidR="00206119" w:rsidRPr="00E22465" w:rsidRDefault="00206119" w:rsidP="00707C9E">
            <w:pPr>
              <w:rPr>
                <w:rFonts w:ascii="Arial" w:hAnsi="Arial" w:cs="Arial"/>
                <w:sz w:val="20"/>
                <w:szCs w:val="20"/>
              </w:rPr>
            </w:pPr>
          </w:p>
          <w:p w:rsidR="00707C9E" w:rsidRPr="00E22465" w:rsidRDefault="00707C9E" w:rsidP="00707C9E">
            <w:pPr>
              <w:rPr>
                <w:rFonts w:ascii="Arial" w:hAnsi="Arial" w:cs="Arial"/>
                <w:sz w:val="20"/>
                <w:szCs w:val="20"/>
              </w:rPr>
            </w:pPr>
          </w:p>
          <w:p w:rsidR="0027445D" w:rsidRDefault="0027445D" w:rsidP="00707C9E">
            <w:pPr>
              <w:rPr>
                <w:rFonts w:ascii="Arial" w:hAnsi="Arial" w:cs="Arial"/>
                <w:sz w:val="20"/>
                <w:szCs w:val="20"/>
              </w:rPr>
            </w:pPr>
          </w:p>
          <w:p w:rsidR="0027445D" w:rsidRDefault="0027445D" w:rsidP="00707C9E">
            <w:pPr>
              <w:rPr>
                <w:rFonts w:ascii="Arial" w:hAnsi="Arial" w:cs="Arial"/>
                <w:sz w:val="20"/>
                <w:szCs w:val="20"/>
              </w:rPr>
            </w:pPr>
          </w:p>
          <w:p w:rsidR="00707C9E" w:rsidRPr="00E22465" w:rsidRDefault="00707C9E" w:rsidP="00707C9E">
            <w:pPr>
              <w:rPr>
                <w:rFonts w:ascii="Arial" w:hAnsi="Arial" w:cs="Arial"/>
                <w:sz w:val="20"/>
                <w:szCs w:val="20"/>
              </w:rPr>
            </w:pPr>
            <w:r w:rsidRPr="00E22465">
              <w:rPr>
                <w:rFonts w:ascii="Arial" w:hAnsi="Arial" w:cs="Arial"/>
                <w:sz w:val="20"/>
                <w:szCs w:val="20"/>
              </w:rPr>
              <w:t>c. Direct the GAD focal person to:</w:t>
            </w:r>
          </w:p>
          <w:p w:rsidR="00E11428" w:rsidRDefault="00E11428" w:rsidP="00707C9E">
            <w:pPr>
              <w:rPr>
                <w:rFonts w:ascii="Arial" w:hAnsi="Arial" w:cs="Arial"/>
                <w:sz w:val="20"/>
                <w:szCs w:val="20"/>
              </w:rPr>
            </w:pPr>
          </w:p>
          <w:p w:rsidR="00707C9E" w:rsidRPr="00E22465" w:rsidRDefault="00707C9E" w:rsidP="00707C9E">
            <w:pPr>
              <w:rPr>
                <w:rFonts w:ascii="Arial" w:hAnsi="Arial" w:cs="Arial"/>
                <w:sz w:val="20"/>
                <w:szCs w:val="20"/>
              </w:rPr>
            </w:pPr>
            <w:r w:rsidRPr="00E22465">
              <w:rPr>
                <w:rFonts w:ascii="Arial" w:hAnsi="Arial" w:cs="Arial"/>
                <w:sz w:val="20"/>
                <w:szCs w:val="20"/>
              </w:rPr>
              <w:t>c.1  Prepare the GPB and submit the same together with the GAD AR in the prescribed format to PCW for endorsement within the deadline set; and</w:t>
            </w:r>
          </w:p>
          <w:p w:rsidR="0018744C" w:rsidRPr="00E22465" w:rsidRDefault="00707C9E" w:rsidP="00707C9E">
            <w:pPr>
              <w:rPr>
                <w:rFonts w:ascii="Arial" w:hAnsi="Arial" w:cs="Arial"/>
                <w:sz w:val="20"/>
                <w:szCs w:val="20"/>
              </w:rPr>
            </w:pPr>
            <w:proofErr w:type="gramStart"/>
            <w:r w:rsidRPr="00E22465">
              <w:rPr>
                <w:rFonts w:ascii="Arial" w:hAnsi="Arial" w:cs="Arial"/>
                <w:sz w:val="20"/>
                <w:szCs w:val="20"/>
              </w:rPr>
              <w:lastRenderedPageBreak/>
              <w:t>c.2  Submit</w:t>
            </w:r>
            <w:proofErr w:type="gramEnd"/>
            <w:r w:rsidRPr="00E22465">
              <w:rPr>
                <w:rFonts w:ascii="Arial" w:hAnsi="Arial" w:cs="Arial"/>
                <w:sz w:val="20"/>
                <w:szCs w:val="20"/>
              </w:rPr>
              <w:t xml:space="preserve"> to the Audit Team copy of the approved/duly endorsed GPB within five days from receipt thereof, and GAD AR within five working days from the end of January of the following year.</w:t>
            </w:r>
          </w:p>
        </w:tc>
        <w:tc>
          <w:tcPr>
            <w:tcW w:w="1350" w:type="dxa"/>
          </w:tcPr>
          <w:p w:rsidR="0018744C" w:rsidRPr="00E22465" w:rsidRDefault="0018744C" w:rsidP="00AE04A4">
            <w:pPr>
              <w:rPr>
                <w:rFonts w:ascii="Arial" w:hAnsi="Arial" w:cs="Arial"/>
                <w:sz w:val="20"/>
                <w:szCs w:val="20"/>
              </w:rPr>
            </w:pPr>
          </w:p>
        </w:tc>
        <w:tc>
          <w:tcPr>
            <w:tcW w:w="1530" w:type="dxa"/>
          </w:tcPr>
          <w:p w:rsidR="0018744C" w:rsidRDefault="0018744C"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r>
              <w:rPr>
                <w:rFonts w:ascii="Arial" w:hAnsi="Arial" w:cs="Arial"/>
                <w:sz w:val="20"/>
                <w:szCs w:val="20"/>
              </w:rPr>
              <w:t>GAD-TWG</w:t>
            </w: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r>
              <w:rPr>
                <w:rFonts w:ascii="Arial" w:hAnsi="Arial" w:cs="Arial"/>
                <w:sz w:val="20"/>
                <w:szCs w:val="20"/>
              </w:rPr>
              <w:t>GAD-TWG</w:t>
            </w: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r>
              <w:rPr>
                <w:rFonts w:ascii="Arial" w:hAnsi="Arial" w:cs="Arial"/>
                <w:sz w:val="20"/>
                <w:szCs w:val="20"/>
              </w:rPr>
              <w:t>GAD-TWG</w:t>
            </w: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r>
              <w:rPr>
                <w:rFonts w:ascii="Arial" w:hAnsi="Arial" w:cs="Arial"/>
                <w:sz w:val="20"/>
                <w:szCs w:val="20"/>
              </w:rPr>
              <w:lastRenderedPageBreak/>
              <w:t>GAD-TWG</w:t>
            </w: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Default="00AB492F" w:rsidP="00AE04A4">
            <w:pPr>
              <w:rPr>
                <w:rFonts w:ascii="Arial" w:hAnsi="Arial" w:cs="Arial"/>
                <w:sz w:val="20"/>
                <w:szCs w:val="20"/>
              </w:rPr>
            </w:pPr>
          </w:p>
          <w:p w:rsidR="00AB492F" w:rsidRPr="00E22465" w:rsidRDefault="00AB492F" w:rsidP="00AE04A4">
            <w:pPr>
              <w:rPr>
                <w:rFonts w:ascii="Arial" w:hAnsi="Arial" w:cs="Arial"/>
                <w:sz w:val="20"/>
                <w:szCs w:val="20"/>
              </w:rPr>
            </w:pPr>
          </w:p>
        </w:tc>
        <w:tc>
          <w:tcPr>
            <w:tcW w:w="990" w:type="dxa"/>
          </w:tcPr>
          <w:p w:rsidR="0018744C" w:rsidRDefault="0018744C"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r>
              <w:rPr>
                <w:rFonts w:ascii="Arial" w:hAnsi="Arial" w:cs="Arial"/>
                <w:sz w:val="20"/>
                <w:szCs w:val="20"/>
              </w:rPr>
              <w:t>January 2020</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r>
              <w:rPr>
                <w:rFonts w:ascii="Arial" w:hAnsi="Arial" w:cs="Arial"/>
                <w:sz w:val="20"/>
                <w:szCs w:val="20"/>
              </w:rPr>
              <w:t>January 2020</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r>
              <w:rPr>
                <w:rFonts w:ascii="Arial" w:hAnsi="Arial" w:cs="Arial"/>
                <w:sz w:val="20"/>
                <w:szCs w:val="20"/>
              </w:rPr>
              <w:t>January 2020</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Pr="00E22465" w:rsidRDefault="00E66BC0" w:rsidP="00AE04A4">
            <w:pPr>
              <w:rPr>
                <w:rFonts w:ascii="Arial" w:hAnsi="Arial" w:cs="Arial"/>
                <w:sz w:val="20"/>
                <w:szCs w:val="20"/>
              </w:rPr>
            </w:pPr>
            <w:r>
              <w:rPr>
                <w:rFonts w:ascii="Arial" w:hAnsi="Arial" w:cs="Arial"/>
                <w:sz w:val="20"/>
                <w:szCs w:val="20"/>
              </w:rPr>
              <w:lastRenderedPageBreak/>
              <w:t>January 2020</w:t>
            </w:r>
          </w:p>
        </w:tc>
        <w:tc>
          <w:tcPr>
            <w:tcW w:w="1144" w:type="dxa"/>
          </w:tcPr>
          <w:p w:rsidR="0018744C" w:rsidRDefault="0018744C"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234486" w:rsidRDefault="00234486" w:rsidP="00AE04A4">
            <w:pPr>
              <w:rPr>
                <w:rFonts w:ascii="Arial" w:hAnsi="Arial" w:cs="Arial"/>
                <w:sz w:val="20"/>
                <w:szCs w:val="20"/>
              </w:rPr>
            </w:pPr>
          </w:p>
          <w:p w:rsidR="00E66BC0" w:rsidRDefault="00E66BC0" w:rsidP="00AE04A4">
            <w:pPr>
              <w:rPr>
                <w:rFonts w:ascii="Arial" w:hAnsi="Arial" w:cs="Arial"/>
                <w:sz w:val="20"/>
                <w:szCs w:val="20"/>
              </w:rPr>
            </w:pPr>
            <w:r>
              <w:rPr>
                <w:rFonts w:ascii="Arial" w:hAnsi="Arial" w:cs="Arial"/>
                <w:sz w:val="20"/>
                <w:szCs w:val="20"/>
              </w:rPr>
              <w:t>December 2020</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r>
              <w:rPr>
                <w:rFonts w:ascii="Arial" w:hAnsi="Arial" w:cs="Arial"/>
                <w:sz w:val="20"/>
                <w:szCs w:val="20"/>
              </w:rPr>
              <w:t>December 2020</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r>
              <w:rPr>
                <w:rFonts w:ascii="Arial" w:hAnsi="Arial" w:cs="Arial"/>
                <w:sz w:val="20"/>
                <w:szCs w:val="20"/>
              </w:rPr>
              <w:t>December 2020</w:t>
            </w: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Default="00E66BC0" w:rsidP="00AE04A4">
            <w:pPr>
              <w:rPr>
                <w:rFonts w:ascii="Arial" w:hAnsi="Arial" w:cs="Arial"/>
                <w:sz w:val="20"/>
                <w:szCs w:val="20"/>
              </w:rPr>
            </w:pPr>
          </w:p>
          <w:p w:rsidR="00E66BC0" w:rsidRPr="00E22465" w:rsidRDefault="00E66BC0" w:rsidP="00AE04A4">
            <w:pPr>
              <w:rPr>
                <w:rFonts w:ascii="Arial" w:hAnsi="Arial" w:cs="Arial"/>
                <w:sz w:val="20"/>
                <w:szCs w:val="20"/>
              </w:rPr>
            </w:pPr>
            <w:r>
              <w:rPr>
                <w:rFonts w:ascii="Arial" w:hAnsi="Arial" w:cs="Arial"/>
                <w:sz w:val="20"/>
                <w:szCs w:val="20"/>
              </w:rPr>
              <w:lastRenderedPageBreak/>
              <w:t>December 2020</w:t>
            </w:r>
          </w:p>
        </w:tc>
        <w:tc>
          <w:tcPr>
            <w:tcW w:w="1646" w:type="dxa"/>
          </w:tcPr>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234486" w:rsidRDefault="00234486" w:rsidP="00AE04A4">
            <w:pPr>
              <w:rPr>
                <w:rFonts w:ascii="Arial" w:hAnsi="Arial" w:cs="Arial"/>
                <w:sz w:val="20"/>
                <w:szCs w:val="20"/>
              </w:rPr>
            </w:pPr>
          </w:p>
          <w:p w:rsidR="0018744C" w:rsidRDefault="00426E93" w:rsidP="00AE04A4">
            <w:pPr>
              <w:rPr>
                <w:rFonts w:ascii="Arial" w:hAnsi="Arial" w:cs="Arial"/>
                <w:sz w:val="20"/>
                <w:szCs w:val="20"/>
              </w:rPr>
            </w:pPr>
            <w:r>
              <w:rPr>
                <w:rFonts w:ascii="Arial" w:hAnsi="Arial" w:cs="Arial"/>
                <w:sz w:val="20"/>
                <w:szCs w:val="20"/>
              </w:rPr>
              <w:t xml:space="preserve">Partially </w:t>
            </w:r>
            <w:r w:rsidR="00707C9E" w:rsidRPr="00E22465">
              <w:rPr>
                <w:rFonts w:ascii="Arial" w:hAnsi="Arial" w:cs="Arial"/>
                <w:sz w:val="20"/>
                <w:szCs w:val="20"/>
              </w:rPr>
              <w:t>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27445D" w:rsidRDefault="0027445D" w:rsidP="00AE04A4">
            <w:pPr>
              <w:rPr>
                <w:rFonts w:ascii="Arial" w:hAnsi="Arial" w:cs="Arial"/>
                <w:sz w:val="20"/>
                <w:szCs w:val="20"/>
              </w:rPr>
            </w:pPr>
          </w:p>
          <w:p w:rsidR="0027445D" w:rsidRDefault="0027445D" w:rsidP="00AE04A4">
            <w:pPr>
              <w:rPr>
                <w:rFonts w:ascii="Arial" w:hAnsi="Arial" w:cs="Arial"/>
                <w:sz w:val="20"/>
                <w:szCs w:val="20"/>
              </w:rPr>
            </w:pPr>
          </w:p>
          <w:p w:rsidR="00426E93" w:rsidRDefault="00426E93" w:rsidP="00AE04A4">
            <w:pPr>
              <w:rPr>
                <w:rFonts w:ascii="Arial" w:hAnsi="Arial" w:cs="Arial"/>
                <w:sz w:val="20"/>
                <w:szCs w:val="20"/>
              </w:rPr>
            </w:pPr>
            <w:r>
              <w:rPr>
                <w:rFonts w:ascii="Arial" w:hAnsi="Arial" w:cs="Arial"/>
                <w:sz w:val="20"/>
                <w:szCs w:val="20"/>
              </w:rPr>
              <w:t xml:space="preserve">Partially </w:t>
            </w:r>
            <w:r w:rsidRPr="00E22465">
              <w:rPr>
                <w:rFonts w:ascii="Arial" w:hAnsi="Arial" w:cs="Arial"/>
                <w:sz w:val="20"/>
                <w:szCs w:val="20"/>
              </w:rPr>
              <w:t>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E11428" w:rsidRDefault="00E11428" w:rsidP="00AE04A4">
            <w:pPr>
              <w:rPr>
                <w:rFonts w:ascii="Arial" w:hAnsi="Arial" w:cs="Arial"/>
                <w:sz w:val="20"/>
                <w:szCs w:val="20"/>
              </w:rPr>
            </w:pPr>
          </w:p>
          <w:p w:rsidR="00C5176B" w:rsidRDefault="00C5176B" w:rsidP="00AE04A4">
            <w:pPr>
              <w:rPr>
                <w:rFonts w:ascii="Arial" w:hAnsi="Arial" w:cs="Arial"/>
                <w:sz w:val="20"/>
                <w:szCs w:val="20"/>
              </w:rPr>
            </w:pPr>
          </w:p>
          <w:p w:rsidR="0027445D" w:rsidRDefault="0027445D" w:rsidP="00AE04A4">
            <w:pPr>
              <w:rPr>
                <w:rFonts w:ascii="Arial" w:hAnsi="Arial" w:cs="Arial"/>
                <w:sz w:val="20"/>
                <w:szCs w:val="20"/>
              </w:rPr>
            </w:pPr>
          </w:p>
          <w:p w:rsidR="0027445D" w:rsidRDefault="0027445D" w:rsidP="00AE04A4">
            <w:pPr>
              <w:rPr>
                <w:rFonts w:ascii="Arial" w:hAnsi="Arial" w:cs="Arial"/>
                <w:sz w:val="20"/>
                <w:szCs w:val="20"/>
              </w:rPr>
            </w:pPr>
          </w:p>
          <w:p w:rsidR="00E11428" w:rsidRDefault="00E11428" w:rsidP="00AE04A4">
            <w:pPr>
              <w:rPr>
                <w:rFonts w:ascii="Arial" w:hAnsi="Arial" w:cs="Arial"/>
                <w:sz w:val="20"/>
                <w:szCs w:val="20"/>
              </w:rPr>
            </w:pPr>
            <w:r>
              <w:rPr>
                <w:rFonts w:ascii="Arial" w:hAnsi="Arial" w:cs="Arial"/>
                <w:sz w:val="20"/>
                <w:szCs w:val="20"/>
              </w:rPr>
              <w:t xml:space="preserve">Partially </w:t>
            </w:r>
            <w:r w:rsidRPr="00E22465">
              <w:rPr>
                <w:rFonts w:ascii="Arial" w:hAnsi="Arial" w:cs="Arial"/>
                <w:sz w:val="20"/>
                <w:szCs w:val="20"/>
              </w:rPr>
              <w:t>implemented</w:t>
            </w:r>
          </w:p>
          <w:p w:rsidR="00426E93" w:rsidRDefault="00426E93" w:rsidP="00AE04A4">
            <w:pPr>
              <w:rPr>
                <w:rFonts w:ascii="Arial" w:hAnsi="Arial" w:cs="Arial"/>
                <w:sz w:val="20"/>
                <w:szCs w:val="20"/>
              </w:rPr>
            </w:pPr>
          </w:p>
          <w:p w:rsidR="00426E93" w:rsidRDefault="00426E93" w:rsidP="00AE04A4">
            <w:pPr>
              <w:rPr>
                <w:rFonts w:ascii="Arial" w:hAnsi="Arial" w:cs="Arial"/>
                <w:sz w:val="20"/>
                <w:szCs w:val="20"/>
              </w:rPr>
            </w:pPr>
          </w:p>
          <w:p w:rsidR="00E11428" w:rsidRDefault="00E11428" w:rsidP="00AE04A4">
            <w:pPr>
              <w:rPr>
                <w:rFonts w:ascii="Arial" w:hAnsi="Arial" w:cs="Arial"/>
                <w:sz w:val="20"/>
                <w:szCs w:val="20"/>
              </w:rPr>
            </w:pPr>
          </w:p>
          <w:p w:rsidR="00E11428" w:rsidRPr="00E22465" w:rsidRDefault="00E11428" w:rsidP="00AE04A4">
            <w:pPr>
              <w:rPr>
                <w:rFonts w:ascii="Arial" w:hAnsi="Arial" w:cs="Arial"/>
                <w:sz w:val="20"/>
                <w:szCs w:val="20"/>
              </w:rPr>
            </w:pPr>
            <w:r>
              <w:rPr>
                <w:rFonts w:ascii="Arial" w:hAnsi="Arial" w:cs="Arial"/>
                <w:sz w:val="20"/>
                <w:szCs w:val="20"/>
              </w:rPr>
              <w:lastRenderedPageBreak/>
              <w:t xml:space="preserve">Partially </w:t>
            </w:r>
            <w:r w:rsidRPr="00E22465">
              <w:rPr>
                <w:rFonts w:ascii="Arial" w:hAnsi="Arial" w:cs="Arial"/>
                <w:sz w:val="20"/>
                <w:szCs w:val="20"/>
              </w:rPr>
              <w:t>implemented</w:t>
            </w:r>
          </w:p>
        </w:tc>
        <w:tc>
          <w:tcPr>
            <w:tcW w:w="1260" w:type="dxa"/>
          </w:tcPr>
          <w:p w:rsidR="0018744C" w:rsidRPr="00E22465" w:rsidRDefault="0018744C" w:rsidP="00AE04A4">
            <w:pPr>
              <w:rPr>
                <w:rFonts w:ascii="Arial" w:hAnsi="Arial" w:cs="Arial"/>
                <w:sz w:val="20"/>
                <w:szCs w:val="20"/>
              </w:rPr>
            </w:pPr>
          </w:p>
        </w:tc>
        <w:tc>
          <w:tcPr>
            <w:tcW w:w="2380" w:type="dxa"/>
          </w:tcPr>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p>
          <w:p w:rsidR="00D55FD9" w:rsidRDefault="00D55FD9" w:rsidP="00894158">
            <w:pPr>
              <w:rPr>
                <w:rFonts w:ascii="Arial" w:hAnsi="Arial" w:cs="Arial"/>
                <w:sz w:val="20"/>
                <w:szCs w:val="20"/>
              </w:rPr>
            </w:pPr>
          </w:p>
          <w:p w:rsidR="00D55FD9" w:rsidRDefault="00D55FD9" w:rsidP="00894158">
            <w:pPr>
              <w:rPr>
                <w:rFonts w:ascii="Arial" w:hAnsi="Arial" w:cs="Arial"/>
                <w:sz w:val="20"/>
                <w:szCs w:val="20"/>
              </w:rPr>
            </w:pPr>
          </w:p>
          <w:p w:rsidR="00894158" w:rsidRPr="00E22465" w:rsidRDefault="00894158" w:rsidP="00894158">
            <w:pPr>
              <w:rPr>
                <w:rFonts w:ascii="Arial" w:hAnsi="Arial" w:cs="Arial"/>
                <w:sz w:val="20"/>
                <w:szCs w:val="20"/>
              </w:rPr>
            </w:pPr>
            <w:r w:rsidRPr="00E22465">
              <w:rPr>
                <w:rFonts w:ascii="Arial" w:hAnsi="Arial" w:cs="Arial"/>
                <w:sz w:val="20"/>
                <w:szCs w:val="20"/>
              </w:rPr>
              <w:t xml:space="preserve">a. In 2018, while DAP was unable to formalize its GAD plans, purposive and sustained GAD programs and activities that were identified from various mechanisms were implemented.  Also, registration to the PCW’s GMMS was a proof of the Academy’s sincere intent to adhere, contribute, and be accountable in advancing GAD; </w:t>
            </w:r>
          </w:p>
          <w:p w:rsidR="00894158" w:rsidRPr="00E22465" w:rsidRDefault="00894158" w:rsidP="00894158">
            <w:pPr>
              <w:rPr>
                <w:rFonts w:ascii="Arial" w:hAnsi="Arial" w:cs="Arial"/>
                <w:sz w:val="20"/>
                <w:szCs w:val="20"/>
              </w:rPr>
            </w:pPr>
          </w:p>
          <w:p w:rsidR="00894158" w:rsidRPr="00E22465" w:rsidRDefault="00894158" w:rsidP="00894158">
            <w:pPr>
              <w:rPr>
                <w:rFonts w:ascii="Arial" w:hAnsi="Arial" w:cs="Arial"/>
                <w:sz w:val="20"/>
                <w:szCs w:val="20"/>
              </w:rPr>
            </w:pPr>
            <w:proofErr w:type="gramStart"/>
            <w:r w:rsidRPr="00E22465">
              <w:rPr>
                <w:rFonts w:ascii="Arial" w:hAnsi="Arial" w:cs="Arial"/>
                <w:sz w:val="20"/>
                <w:szCs w:val="20"/>
              </w:rPr>
              <w:t>b</w:t>
            </w:r>
            <w:proofErr w:type="gramEnd"/>
            <w:r w:rsidRPr="00E22465">
              <w:rPr>
                <w:rFonts w:ascii="Arial" w:hAnsi="Arial" w:cs="Arial"/>
                <w:sz w:val="20"/>
                <w:szCs w:val="20"/>
              </w:rPr>
              <w:t>.. Internally, the Academy had been allocating for GAD-related project/activities at least 5 per cent of its Board-approved HR Training and Development Budget.  The percentage may increase depending on the costs of the Academy’s projects that will be identified as GAD related and for attribution; and</w:t>
            </w:r>
          </w:p>
          <w:p w:rsidR="00894158" w:rsidRPr="00E22465" w:rsidRDefault="00894158" w:rsidP="00894158">
            <w:pPr>
              <w:rPr>
                <w:rFonts w:ascii="Arial" w:hAnsi="Arial" w:cs="Arial"/>
                <w:sz w:val="20"/>
                <w:szCs w:val="20"/>
              </w:rPr>
            </w:pPr>
          </w:p>
          <w:p w:rsidR="0018744C" w:rsidRPr="00E22465" w:rsidRDefault="00894158" w:rsidP="00894158">
            <w:pPr>
              <w:rPr>
                <w:rFonts w:ascii="Arial" w:hAnsi="Arial" w:cs="Arial"/>
                <w:sz w:val="20"/>
                <w:szCs w:val="20"/>
              </w:rPr>
            </w:pPr>
            <w:r w:rsidRPr="00E22465">
              <w:rPr>
                <w:rFonts w:ascii="Arial" w:hAnsi="Arial" w:cs="Arial"/>
                <w:sz w:val="20"/>
                <w:szCs w:val="20"/>
              </w:rPr>
              <w:t xml:space="preserve">c.   Henceforth, we will continue to include in the annual plans the capacity building of the Academy’s GAD Focal Point System on Harmonized Gender and Development Guidelines </w:t>
            </w:r>
            <w:r w:rsidRPr="00E22465">
              <w:rPr>
                <w:rFonts w:ascii="Arial" w:hAnsi="Arial" w:cs="Arial"/>
                <w:sz w:val="20"/>
                <w:szCs w:val="20"/>
              </w:rPr>
              <w:lastRenderedPageBreak/>
              <w:t>for better accounting of expenses that can be attributed to GAD.</w:t>
            </w:r>
          </w:p>
        </w:tc>
      </w:tr>
      <w:tr w:rsidR="0018744C" w:rsidRPr="00E22465" w:rsidTr="007D01AA">
        <w:tc>
          <w:tcPr>
            <w:tcW w:w="648" w:type="dxa"/>
          </w:tcPr>
          <w:p w:rsidR="0018744C" w:rsidRPr="00E22465" w:rsidRDefault="00626DF0" w:rsidP="00AD6246">
            <w:pPr>
              <w:jc w:val="center"/>
              <w:rPr>
                <w:rFonts w:ascii="Arial" w:hAnsi="Arial" w:cs="Arial"/>
                <w:b/>
                <w:sz w:val="20"/>
                <w:szCs w:val="20"/>
              </w:rPr>
            </w:pPr>
            <w:r w:rsidRPr="00E22465">
              <w:rPr>
                <w:rFonts w:ascii="Arial" w:hAnsi="Arial" w:cs="Arial"/>
                <w:b/>
                <w:sz w:val="20"/>
                <w:szCs w:val="20"/>
              </w:rPr>
              <w:lastRenderedPageBreak/>
              <w:t>14</w:t>
            </w:r>
          </w:p>
        </w:tc>
        <w:tc>
          <w:tcPr>
            <w:tcW w:w="3294" w:type="dxa"/>
          </w:tcPr>
          <w:p w:rsidR="0018744C" w:rsidRPr="00E22465" w:rsidRDefault="00707C9E" w:rsidP="00AE04A4">
            <w:pPr>
              <w:rPr>
                <w:rFonts w:ascii="Arial" w:hAnsi="Arial" w:cs="Arial"/>
                <w:sz w:val="20"/>
                <w:szCs w:val="20"/>
              </w:rPr>
            </w:pPr>
            <w:r w:rsidRPr="00E22465">
              <w:rPr>
                <w:rFonts w:ascii="Arial" w:hAnsi="Arial" w:cs="Arial"/>
                <w:sz w:val="20"/>
                <w:szCs w:val="20"/>
              </w:rPr>
              <w:t xml:space="preserve">The DAP was unable to remit in full the premium contributions to the GSIS, </w:t>
            </w:r>
            <w:proofErr w:type="spellStart"/>
            <w:r w:rsidRPr="00E22465">
              <w:rPr>
                <w:rFonts w:ascii="Arial" w:hAnsi="Arial" w:cs="Arial"/>
                <w:sz w:val="20"/>
                <w:szCs w:val="20"/>
              </w:rPr>
              <w:t>PhilHealth</w:t>
            </w:r>
            <w:proofErr w:type="spellEnd"/>
            <w:r w:rsidRPr="00E22465">
              <w:rPr>
                <w:rFonts w:ascii="Arial" w:hAnsi="Arial" w:cs="Arial"/>
                <w:sz w:val="20"/>
                <w:szCs w:val="20"/>
              </w:rPr>
              <w:t xml:space="preserve"> and </w:t>
            </w:r>
            <w:proofErr w:type="spellStart"/>
            <w:r w:rsidRPr="00E22465">
              <w:rPr>
                <w:rFonts w:ascii="Arial" w:hAnsi="Arial" w:cs="Arial"/>
                <w:sz w:val="20"/>
                <w:szCs w:val="20"/>
              </w:rPr>
              <w:t>Pag</w:t>
            </w:r>
            <w:proofErr w:type="spellEnd"/>
            <w:r w:rsidRPr="00E22465">
              <w:rPr>
                <w:rFonts w:ascii="Arial" w:hAnsi="Arial" w:cs="Arial"/>
                <w:sz w:val="20"/>
                <w:szCs w:val="20"/>
              </w:rPr>
              <w:t>-IBIG in the amounts of P1.197 million, P328,359 and P5,400, respectively, for CY 2018, which is not in accordance with the provisions of Section 14.1 of the Implementing Rules and Regulations (IRR) of RA No. 8291, otherwise known as the GSIS Act of 1997;  Section 11 of the Revised IRR of RA No. 10606,  known as the National Health Insurance Act of 2013; and Section 3, Rule VII of the IRR of RA No. 9679 or the Home Development Mutual Fund Law of 2009.</w:t>
            </w:r>
          </w:p>
        </w:tc>
        <w:tc>
          <w:tcPr>
            <w:tcW w:w="3060" w:type="dxa"/>
          </w:tcPr>
          <w:p w:rsidR="0018744C" w:rsidRPr="00E22465" w:rsidRDefault="00707C9E" w:rsidP="001067A3">
            <w:pPr>
              <w:rPr>
                <w:rFonts w:ascii="Arial" w:hAnsi="Arial" w:cs="Arial"/>
                <w:sz w:val="20"/>
                <w:szCs w:val="20"/>
              </w:rPr>
            </w:pPr>
            <w:r w:rsidRPr="00E22465">
              <w:rPr>
                <w:rFonts w:ascii="Arial" w:hAnsi="Arial" w:cs="Arial"/>
                <w:sz w:val="20"/>
                <w:szCs w:val="20"/>
              </w:rPr>
              <w:t>We recommended that Management strictly comply with the provisions of Section 14.1 of the IRR of RA No. 8291, Section 11 of the IRR of RA No. 10606, and Section 3, Rule VII of the IRR of RA No. 9679 on the withholding and remittance of premiums and contributions.</w:t>
            </w:r>
          </w:p>
        </w:tc>
        <w:tc>
          <w:tcPr>
            <w:tcW w:w="1350" w:type="dxa"/>
          </w:tcPr>
          <w:p w:rsidR="0018744C" w:rsidRPr="00E22465" w:rsidRDefault="0018744C" w:rsidP="00AE04A4">
            <w:pPr>
              <w:rPr>
                <w:rFonts w:ascii="Arial" w:hAnsi="Arial" w:cs="Arial"/>
                <w:sz w:val="20"/>
                <w:szCs w:val="20"/>
              </w:rPr>
            </w:pPr>
          </w:p>
        </w:tc>
        <w:tc>
          <w:tcPr>
            <w:tcW w:w="1530" w:type="dxa"/>
          </w:tcPr>
          <w:p w:rsidR="0018744C" w:rsidRPr="00E22465" w:rsidRDefault="00AB492F" w:rsidP="00AE04A4">
            <w:pPr>
              <w:rPr>
                <w:rFonts w:ascii="Arial" w:hAnsi="Arial" w:cs="Arial"/>
                <w:sz w:val="20"/>
                <w:szCs w:val="20"/>
              </w:rPr>
            </w:pPr>
            <w:r>
              <w:rPr>
                <w:rFonts w:ascii="Arial" w:hAnsi="Arial" w:cs="Arial"/>
                <w:sz w:val="20"/>
                <w:szCs w:val="20"/>
              </w:rPr>
              <w:t>HRMDD</w:t>
            </w:r>
          </w:p>
        </w:tc>
        <w:tc>
          <w:tcPr>
            <w:tcW w:w="990" w:type="dxa"/>
          </w:tcPr>
          <w:p w:rsidR="0018744C" w:rsidRPr="00E22465" w:rsidRDefault="00E66BC0" w:rsidP="00AE04A4">
            <w:pPr>
              <w:rPr>
                <w:rFonts w:ascii="Arial" w:hAnsi="Arial" w:cs="Arial"/>
                <w:sz w:val="20"/>
                <w:szCs w:val="20"/>
              </w:rPr>
            </w:pPr>
            <w:r>
              <w:rPr>
                <w:rFonts w:ascii="Arial" w:hAnsi="Arial" w:cs="Arial"/>
                <w:sz w:val="20"/>
                <w:szCs w:val="20"/>
              </w:rPr>
              <w:t>January 2020</w:t>
            </w:r>
          </w:p>
        </w:tc>
        <w:tc>
          <w:tcPr>
            <w:tcW w:w="1144" w:type="dxa"/>
          </w:tcPr>
          <w:p w:rsidR="0018744C" w:rsidRPr="00E22465" w:rsidRDefault="00E66BC0" w:rsidP="00AE04A4">
            <w:pPr>
              <w:rPr>
                <w:rFonts w:ascii="Arial" w:hAnsi="Arial" w:cs="Arial"/>
                <w:sz w:val="20"/>
                <w:szCs w:val="20"/>
              </w:rPr>
            </w:pPr>
            <w:r>
              <w:rPr>
                <w:rFonts w:ascii="Arial" w:hAnsi="Arial" w:cs="Arial"/>
                <w:sz w:val="20"/>
                <w:szCs w:val="20"/>
              </w:rPr>
              <w:t>December 2020</w:t>
            </w:r>
          </w:p>
        </w:tc>
        <w:tc>
          <w:tcPr>
            <w:tcW w:w="1646" w:type="dxa"/>
          </w:tcPr>
          <w:p w:rsidR="0018744C" w:rsidRPr="00E22465" w:rsidRDefault="009A0650" w:rsidP="00AE04A4">
            <w:pPr>
              <w:rPr>
                <w:rFonts w:ascii="Arial" w:hAnsi="Arial" w:cs="Arial"/>
                <w:sz w:val="20"/>
                <w:szCs w:val="20"/>
              </w:rPr>
            </w:pPr>
            <w:r>
              <w:rPr>
                <w:rFonts w:ascii="Arial" w:hAnsi="Arial" w:cs="Arial"/>
                <w:sz w:val="20"/>
                <w:szCs w:val="20"/>
              </w:rPr>
              <w:t xml:space="preserve">Partially </w:t>
            </w:r>
            <w:r w:rsidR="00894158" w:rsidRPr="00E22465">
              <w:rPr>
                <w:rFonts w:ascii="Arial" w:hAnsi="Arial" w:cs="Arial"/>
                <w:sz w:val="20"/>
                <w:szCs w:val="20"/>
              </w:rPr>
              <w:t>implemented</w:t>
            </w:r>
          </w:p>
        </w:tc>
        <w:tc>
          <w:tcPr>
            <w:tcW w:w="1260" w:type="dxa"/>
          </w:tcPr>
          <w:p w:rsidR="0018744C" w:rsidRPr="00E22465" w:rsidRDefault="00293EE1" w:rsidP="00AE04A4">
            <w:pPr>
              <w:rPr>
                <w:rFonts w:ascii="Arial" w:hAnsi="Arial" w:cs="Arial"/>
                <w:sz w:val="20"/>
                <w:szCs w:val="20"/>
              </w:rPr>
            </w:pPr>
            <w:r>
              <w:rPr>
                <w:rFonts w:ascii="Arial" w:hAnsi="Arial" w:cs="Arial"/>
                <w:sz w:val="20"/>
                <w:szCs w:val="20"/>
              </w:rPr>
              <w:t>Reconciliation still on-going for prior years</w:t>
            </w:r>
          </w:p>
        </w:tc>
        <w:tc>
          <w:tcPr>
            <w:tcW w:w="2380" w:type="dxa"/>
          </w:tcPr>
          <w:p w:rsidR="00894158" w:rsidRPr="00E22465" w:rsidRDefault="00894158" w:rsidP="00894158">
            <w:pPr>
              <w:rPr>
                <w:rFonts w:ascii="Arial" w:hAnsi="Arial" w:cs="Arial"/>
                <w:sz w:val="20"/>
                <w:szCs w:val="20"/>
              </w:rPr>
            </w:pPr>
            <w:r w:rsidRPr="00E22465">
              <w:rPr>
                <w:rFonts w:ascii="Arial" w:hAnsi="Arial" w:cs="Arial"/>
                <w:sz w:val="20"/>
                <w:szCs w:val="20"/>
              </w:rPr>
              <w:t xml:space="preserve">a. The Academy is on a 100 per cent threshold when it comes to remittances to the GSIS, </w:t>
            </w:r>
            <w:proofErr w:type="spellStart"/>
            <w:r w:rsidRPr="00E22465">
              <w:rPr>
                <w:rFonts w:ascii="Arial" w:hAnsi="Arial" w:cs="Arial"/>
                <w:sz w:val="20"/>
                <w:szCs w:val="20"/>
              </w:rPr>
              <w:t>PhilHealth</w:t>
            </w:r>
            <w:proofErr w:type="spellEnd"/>
            <w:r w:rsidRPr="00E22465">
              <w:rPr>
                <w:rFonts w:ascii="Arial" w:hAnsi="Arial" w:cs="Arial"/>
                <w:sz w:val="20"/>
                <w:szCs w:val="20"/>
              </w:rPr>
              <w:t xml:space="preserve"> and </w:t>
            </w:r>
            <w:proofErr w:type="spellStart"/>
            <w:r w:rsidRPr="00E22465">
              <w:rPr>
                <w:rFonts w:ascii="Arial" w:hAnsi="Arial" w:cs="Arial"/>
                <w:sz w:val="20"/>
                <w:szCs w:val="20"/>
              </w:rPr>
              <w:t>Pag</w:t>
            </w:r>
            <w:proofErr w:type="spellEnd"/>
            <w:r w:rsidRPr="00E22465">
              <w:rPr>
                <w:rFonts w:ascii="Arial" w:hAnsi="Arial" w:cs="Arial"/>
                <w:sz w:val="20"/>
                <w:szCs w:val="20"/>
              </w:rPr>
              <w:t>-IBIG.  For the GSIS remittances, discrepancies may arise only in case of salary adjustments or differentials as these are not immediately recognized and posted by the GSIS unless the Agency Remittance Advice  (ARA) is submitted by the Academy; and</w:t>
            </w:r>
          </w:p>
          <w:p w:rsidR="00894158" w:rsidRPr="00E22465" w:rsidRDefault="00894158" w:rsidP="00894158">
            <w:pPr>
              <w:rPr>
                <w:rFonts w:ascii="Arial" w:hAnsi="Arial" w:cs="Arial"/>
                <w:sz w:val="20"/>
                <w:szCs w:val="20"/>
              </w:rPr>
            </w:pPr>
          </w:p>
          <w:p w:rsidR="0018744C" w:rsidRPr="00E22465" w:rsidRDefault="00894158" w:rsidP="00894158">
            <w:pPr>
              <w:rPr>
                <w:rFonts w:ascii="Arial" w:hAnsi="Arial" w:cs="Arial"/>
                <w:sz w:val="20"/>
                <w:szCs w:val="20"/>
              </w:rPr>
            </w:pPr>
            <w:r w:rsidRPr="00E22465">
              <w:rPr>
                <w:rFonts w:ascii="Arial" w:hAnsi="Arial" w:cs="Arial"/>
                <w:sz w:val="20"/>
                <w:szCs w:val="20"/>
              </w:rPr>
              <w:t xml:space="preserve">b. The Compensation &amp; Benefit Unit (COMBEN) of the Human Resources Management and Development Department (HRMDD) has reconciled the 2018 remittances and determined the exact amount of premiums or contributions that  were remitted to the GSIS, </w:t>
            </w:r>
            <w:proofErr w:type="spellStart"/>
            <w:r w:rsidRPr="00E22465">
              <w:rPr>
                <w:rFonts w:ascii="Arial" w:hAnsi="Arial" w:cs="Arial"/>
                <w:sz w:val="20"/>
                <w:szCs w:val="20"/>
              </w:rPr>
              <w:t>PhilHealth</w:t>
            </w:r>
            <w:proofErr w:type="spellEnd"/>
            <w:r w:rsidRPr="00E22465">
              <w:rPr>
                <w:rFonts w:ascii="Arial" w:hAnsi="Arial" w:cs="Arial"/>
                <w:sz w:val="20"/>
                <w:szCs w:val="20"/>
              </w:rPr>
              <w:t xml:space="preserve"> and </w:t>
            </w:r>
            <w:proofErr w:type="spellStart"/>
            <w:r w:rsidRPr="00E22465">
              <w:rPr>
                <w:rFonts w:ascii="Arial" w:hAnsi="Arial" w:cs="Arial"/>
                <w:sz w:val="20"/>
                <w:szCs w:val="20"/>
              </w:rPr>
              <w:t>Pag</w:t>
            </w:r>
            <w:proofErr w:type="spellEnd"/>
            <w:r w:rsidRPr="00E22465">
              <w:rPr>
                <w:rFonts w:ascii="Arial" w:hAnsi="Arial" w:cs="Arial"/>
                <w:sz w:val="20"/>
                <w:szCs w:val="20"/>
              </w:rPr>
              <w:t>-IBIG.</w:t>
            </w:r>
            <w:r w:rsidR="0025323F">
              <w:rPr>
                <w:rFonts w:ascii="Arial" w:hAnsi="Arial" w:cs="Arial"/>
                <w:sz w:val="20"/>
                <w:szCs w:val="20"/>
              </w:rPr>
              <w:t xml:space="preserve"> However prior years’ records have yet to be validated.</w:t>
            </w:r>
          </w:p>
        </w:tc>
      </w:tr>
    </w:tbl>
    <w:p w:rsidR="00494AFA" w:rsidRDefault="00494AFA" w:rsidP="00AE04A4">
      <w:pPr>
        <w:spacing w:after="0"/>
        <w:rPr>
          <w:rFonts w:ascii="Arial" w:hAnsi="Arial" w:cs="Arial"/>
          <w:sz w:val="20"/>
          <w:szCs w:val="20"/>
        </w:rPr>
      </w:pPr>
    </w:p>
    <w:p w:rsidR="001067A3" w:rsidRDefault="001067A3" w:rsidP="00AE04A4">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2"/>
        <w:gridCol w:w="5832"/>
        <w:gridCol w:w="5832"/>
      </w:tblGrid>
      <w:tr w:rsidR="001067A3" w:rsidTr="001067A3">
        <w:tc>
          <w:tcPr>
            <w:tcW w:w="5832" w:type="dxa"/>
          </w:tcPr>
          <w:p w:rsidR="001067A3" w:rsidRPr="00CB132F" w:rsidRDefault="001067A3" w:rsidP="00AE04A4">
            <w:pPr>
              <w:rPr>
                <w:rFonts w:ascii="Arial" w:hAnsi="Arial" w:cs="Arial"/>
                <w:b/>
              </w:rPr>
            </w:pPr>
            <w:r w:rsidRPr="00CB132F">
              <w:rPr>
                <w:rFonts w:ascii="Arial" w:hAnsi="Arial" w:cs="Arial"/>
                <w:b/>
              </w:rPr>
              <w:t>Signing Officer:</w:t>
            </w:r>
          </w:p>
        </w:tc>
        <w:tc>
          <w:tcPr>
            <w:tcW w:w="5832" w:type="dxa"/>
          </w:tcPr>
          <w:p w:rsidR="001067A3" w:rsidRPr="00CB132F" w:rsidRDefault="001067A3" w:rsidP="00AE04A4">
            <w:pPr>
              <w:rPr>
                <w:rFonts w:ascii="Arial" w:hAnsi="Arial" w:cs="Arial"/>
              </w:rPr>
            </w:pPr>
          </w:p>
        </w:tc>
        <w:tc>
          <w:tcPr>
            <w:tcW w:w="5832" w:type="dxa"/>
          </w:tcPr>
          <w:p w:rsidR="001067A3" w:rsidRPr="00CB132F" w:rsidRDefault="001067A3" w:rsidP="00AE04A4">
            <w:pPr>
              <w:rPr>
                <w:rFonts w:ascii="Arial" w:hAnsi="Arial" w:cs="Arial"/>
              </w:rPr>
            </w:pPr>
          </w:p>
        </w:tc>
      </w:tr>
      <w:tr w:rsidR="001067A3" w:rsidTr="001067A3">
        <w:tc>
          <w:tcPr>
            <w:tcW w:w="5832" w:type="dxa"/>
            <w:tcBorders>
              <w:bottom w:val="single" w:sz="4" w:space="0" w:color="auto"/>
            </w:tcBorders>
          </w:tcPr>
          <w:p w:rsidR="001067A3" w:rsidRPr="00CB132F" w:rsidRDefault="001067A3" w:rsidP="00AE04A4">
            <w:pPr>
              <w:rPr>
                <w:rFonts w:ascii="Arial" w:hAnsi="Arial" w:cs="Arial"/>
              </w:rPr>
            </w:pPr>
          </w:p>
        </w:tc>
        <w:tc>
          <w:tcPr>
            <w:tcW w:w="5832" w:type="dxa"/>
          </w:tcPr>
          <w:p w:rsidR="001067A3" w:rsidRPr="00CB132F" w:rsidRDefault="001067A3" w:rsidP="00AE04A4">
            <w:pPr>
              <w:rPr>
                <w:rFonts w:ascii="Arial" w:hAnsi="Arial" w:cs="Arial"/>
              </w:rPr>
            </w:pPr>
          </w:p>
        </w:tc>
        <w:tc>
          <w:tcPr>
            <w:tcW w:w="5832" w:type="dxa"/>
            <w:tcBorders>
              <w:bottom w:val="single" w:sz="4" w:space="0" w:color="auto"/>
            </w:tcBorders>
          </w:tcPr>
          <w:p w:rsidR="001067A3" w:rsidRPr="00CB132F" w:rsidRDefault="001067A3" w:rsidP="00AE04A4">
            <w:pPr>
              <w:rPr>
                <w:rFonts w:ascii="Arial" w:hAnsi="Arial" w:cs="Arial"/>
              </w:rPr>
            </w:pPr>
          </w:p>
        </w:tc>
      </w:tr>
      <w:tr w:rsidR="001067A3" w:rsidTr="001067A3">
        <w:tc>
          <w:tcPr>
            <w:tcW w:w="5832" w:type="dxa"/>
            <w:tcBorders>
              <w:top w:val="single" w:sz="4" w:space="0" w:color="auto"/>
            </w:tcBorders>
          </w:tcPr>
          <w:p w:rsidR="001067A3" w:rsidRPr="00CB132F" w:rsidRDefault="001067A3" w:rsidP="00CB132F">
            <w:pPr>
              <w:jc w:val="center"/>
              <w:rPr>
                <w:rFonts w:ascii="Arial" w:hAnsi="Arial" w:cs="Arial"/>
                <w:b/>
              </w:rPr>
            </w:pPr>
            <w:r w:rsidRPr="00CB132F">
              <w:rPr>
                <w:rFonts w:ascii="Arial" w:hAnsi="Arial" w:cs="Arial"/>
                <w:b/>
              </w:rPr>
              <w:t>ANATALIA SD. BARAWIDAN</w:t>
            </w:r>
          </w:p>
        </w:tc>
        <w:tc>
          <w:tcPr>
            <w:tcW w:w="5832" w:type="dxa"/>
          </w:tcPr>
          <w:p w:rsidR="001067A3" w:rsidRPr="00CB132F" w:rsidRDefault="001067A3" w:rsidP="00AE04A4">
            <w:pPr>
              <w:rPr>
                <w:rFonts w:ascii="Arial" w:hAnsi="Arial" w:cs="Arial"/>
                <w:b/>
              </w:rPr>
            </w:pPr>
          </w:p>
        </w:tc>
        <w:tc>
          <w:tcPr>
            <w:tcW w:w="5832" w:type="dxa"/>
            <w:tcBorders>
              <w:top w:val="single" w:sz="4" w:space="0" w:color="auto"/>
            </w:tcBorders>
          </w:tcPr>
          <w:p w:rsidR="001067A3" w:rsidRPr="00CB132F" w:rsidRDefault="001067A3" w:rsidP="001067A3">
            <w:pPr>
              <w:jc w:val="center"/>
              <w:rPr>
                <w:rFonts w:ascii="Arial" w:hAnsi="Arial" w:cs="Arial"/>
                <w:b/>
              </w:rPr>
            </w:pPr>
            <w:r w:rsidRPr="00CB132F">
              <w:rPr>
                <w:rFonts w:ascii="Arial" w:hAnsi="Arial" w:cs="Arial"/>
                <w:b/>
              </w:rPr>
              <w:t>DATE</w:t>
            </w:r>
          </w:p>
        </w:tc>
      </w:tr>
      <w:tr w:rsidR="001067A3" w:rsidTr="001067A3">
        <w:tc>
          <w:tcPr>
            <w:tcW w:w="5832" w:type="dxa"/>
          </w:tcPr>
          <w:p w:rsidR="001067A3" w:rsidRPr="001067A3" w:rsidRDefault="001067A3" w:rsidP="00CB132F">
            <w:pPr>
              <w:jc w:val="center"/>
              <w:rPr>
                <w:rFonts w:ascii="Arial" w:hAnsi="Arial" w:cs="Arial"/>
                <w:sz w:val="20"/>
                <w:szCs w:val="20"/>
              </w:rPr>
            </w:pPr>
            <w:r w:rsidRPr="001067A3">
              <w:rPr>
                <w:rFonts w:ascii="Arial" w:hAnsi="Arial" w:cs="Arial"/>
                <w:sz w:val="20"/>
                <w:szCs w:val="20"/>
              </w:rPr>
              <w:t>Acting Managing Director, Finance Department</w:t>
            </w:r>
          </w:p>
        </w:tc>
        <w:tc>
          <w:tcPr>
            <w:tcW w:w="5832" w:type="dxa"/>
          </w:tcPr>
          <w:p w:rsidR="001067A3" w:rsidRPr="001067A3" w:rsidRDefault="001067A3" w:rsidP="00AE04A4">
            <w:pPr>
              <w:rPr>
                <w:rFonts w:ascii="Arial" w:hAnsi="Arial" w:cs="Arial"/>
                <w:b/>
                <w:sz w:val="20"/>
                <w:szCs w:val="20"/>
              </w:rPr>
            </w:pPr>
          </w:p>
        </w:tc>
        <w:tc>
          <w:tcPr>
            <w:tcW w:w="5832" w:type="dxa"/>
          </w:tcPr>
          <w:p w:rsidR="001067A3" w:rsidRPr="001067A3" w:rsidRDefault="001067A3" w:rsidP="00AE04A4">
            <w:pPr>
              <w:rPr>
                <w:rFonts w:ascii="Arial" w:hAnsi="Arial" w:cs="Arial"/>
                <w:b/>
                <w:sz w:val="20"/>
                <w:szCs w:val="20"/>
              </w:rPr>
            </w:pPr>
          </w:p>
        </w:tc>
      </w:tr>
    </w:tbl>
    <w:p w:rsidR="001067A3" w:rsidRPr="00AE04A4" w:rsidRDefault="001067A3" w:rsidP="00AE04A4">
      <w:pPr>
        <w:spacing w:after="0"/>
        <w:rPr>
          <w:rFonts w:ascii="Arial" w:hAnsi="Arial" w:cs="Arial"/>
          <w:sz w:val="20"/>
          <w:szCs w:val="20"/>
        </w:rPr>
      </w:pPr>
    </w:p>
    <w:sectPr w:rsidR="001067A3" w:rsidRPr="00AE04A4" w:rsidSect="00E3553A">
      <w:footerReference w:type="default" r:id="rId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7CB" w:rsidRDefault="008957CB" w:rsidP="00AE04A4">
      <w:pPr>
        <w:spacing w:after="0" w:line="240" w:lineRule="auto"/>
      </w:pPr>
      <w:r>
        <w:separator/>
      </w:r>
    </w:p>
  </w:endnote>
  <w:endnote w:type="continuationSeparator" w:id="0">
    <w:p w:rsidR="008957CB" w:rsidRDefault="008957CB" w:rsidP="00AE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704526"/>
      <w:docPartObj>
        <w:docPartGallery w:val="Page Numbers (Bottom of Page)"/>
        <w:docPartUnique/>
      </w:docPartObj>
    </w:sdtPr>
    <w:sdtEndPr>
      <w:rPr>
        <w:noProof/>
      </w:rPr>
    </w:sdtEndPr>
    <w:sdtContent>
      <w:p w:rsidR="00D01062" w:rsidRDefault="00D01062">
        <w:pPr>
          <w:pStyle w:val="Footer"/>
          <w:jc w:val="center"/>
        </w:pPr>
        <w:r>
          <w:fldChar w:fldCharType="begin"/>
        </w:r>
        <w:r>
          <w:instrText xml:space="preserve"> PAGE   \* MERGEFORMAT </w:instrText>
        </w:r>
        <w:r>
          <w:fldChar w:fldCharType="separate"/>
        </w:r>
        <w:r w:rsidR="00511DC5">
          <w:rPr>
            <w:noProof/>
          </w:rPr>
          <w:t>1</w:t>
        </w:r>
        <w:r>
          <w:rPr>
            <w:noProof/>
          </w:rPr>
          <w:fldChar w:fldCharType="end"/>
        </w:r>
      </w:p>
    </w:sdtContent>
  </w:sdt>
  <w:p w:rsidR="00D01062" w:rsidRDefault="00D0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7CB" w:rsidRDefault="008957CB" w:rsidP="00AE04A4">
      <w:pPr>
        <w:spacing w:after="0" w:line="240" w:lineRule="auto"/>
      </w:pPr>
      <w:r>
        <w:separator/>
      </w:r>
    </w:p>
  </w:footnote>
  <w:footnote w:type="continuationSeparator" w:id="0">
    <w:p w:rsidR="008957CB" w:rsidRDefault="008957CB" w:rsidP="00AE0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A4"/>
    <w:rsid w:val="00027AD4"/>
    <w:rsid w:val="000406BB"/>
    <w:rsid w:val="0005574C"/>
    <w:rsid w:val="000B46B5"/>
    <w:rsid w:val="000D42BF"/>
    <w:rsid w:val="000E1DD0"/>
    <w:rsid w:val="001067A3"/>
    <w:rsid w:val="00135808"/>
    <w:rsid w:val="00141ADB"/>
    <w:rsid w:val="0018744C"/>
    <w:rsid w:val="00193168"/>
    <w:rsid w:val="001A18E9"/>
    <w:rsid w:val="001A6F42"/>
    <w:rsid w:val="001D7E5C"/>
    <w:rsid w:val="00206119"/>
    <w:rsid w:val="00230A73"/>
    <w:rsid w:val="00234486"/>
    <w:rsid w:val="0025323F"/>
    <w:rsid w:val="0027445D"/>
    <w:rsid w:val="00293EE1"/>
    <w:rsid w:val="002D3043"/>
    <w:rsid w:val="002E109E"/>
    <w:rsid w:val="003062F0"/>
    <w:rsid w:val="0034120A"/>
    <w:rsid w:val="00344735"/>
    <w:rsid w:val="00364528"/>
    <w:rsid w:val="00364BB2"/>
    <w:rsid w:val="00396638"/>
    <w:rsid w:val="003A3A58"/>
    <w:rsid w:val="003F4421"/>
    <w:rsid w:val="00426E93"/>
    <w:rsid w:val="00452184"/>
    <w:rsid w:val="0045326A"/>
    <w:rsid w:val="00454108"/>
    <w:rsid w:val="00471C2C"/>
    <w:rsid w:val="00494AFA"/>
    <w:rsid w:val="004D6EF0"/>
    <w:rsid w:val="00511DC5"/>
    <w:rsid w:val="005130DE"/>
    <w:rsid w:val="00561698"/>
    <w:rsid w:val="0059429F"/>
    <w:rsid w:val="005A14CD"/>
    <w:rsid w:val="005E7AC2"/>
    <w:rsid w:val="005F5A2E"/>
    <w:rsid w:val="00626DF0"/>
    <w:rsid w:val="006E1732"/>
    <w:rsid w:val="00703829"/>
    <w:rsid w:val="00707C9E"/>
    <w:rsid w:val="00725F66"/>
    <w:rsid w:val="00734BB0"/>
    <w:rsid w:val="00785DCA"/>
    <w:rsid w:val="007D01AA"/>
    <w:rsid w:val="008066F2"/>
    <w:rsid w:val="00860B97"/>
    <w:rsid w:val="00894158"/>
    <w:rsid w:val="008957CB"/>
    <w:rsid w:val="00910E2B"/>
    <w:rsid w:val="00933C54"/>
    <w:rsid w:val="009A0650"/>
    <w:rsid w:val="009C7C33"/>
    <w:rsid w:val="009E64F5"/>
    <w:rsid w:val="00A3126E"/>
    <w:rsid w:val="00A80236"/>
    <w:rsid w:val="00AB492F"/>
    <w:rsid w:val="00AD6246"/>
    <w:rsid w:val="00AE04A4"/>
    <w:rsid w:val="00B856A4"/>
    <w:rsid w:val="00BE2B5F"/>
    <w:rsid w:val="00C34A73"/>
    <w:rsid w:val="00C5176B"/>
    <w:rsid w:val="00C56A2F"/>
    <w:rsid w:val="00C724CC"/>
    <w:rsid w:val="00CB132F"/>
    <w:rsid w:val="00CD5FA4"/>
    <w:rsid w:val="00CF3B11"/>
    <w:rsid w:val="00D01062"/>
    <w:rsid w:val="00D0123C"/>
    <w:rsid w:val="00D45AB7"/>
    <w:rsid w:val="00D55FD9"/>
    <w:rsid w:val="00D63CB1"/>
    <w:rsid w:val="00D65BBD"/>
    <w:rsid w:val="00D6624C"/>
    <w:rsid w:val="00E11428"/>
    <w:rsid w:val="00E22465"/>
    <w:rsid w:val="00E3553A"/>
    <w:rsid w:val="00E470AA"/>
    <w:rsid w:val="00E66BC0"/>
    <w:rsid w:val="00E71350"/>
    <w:rsid w:val="00EB7EBC"/>
    <w:rsid w:val="00F264A8"/>
    <w:rsid w:val="00F758FD"/>
    <w:rsid w:val="00FE1EEC"/>
    <w:rsid w:val="00FF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7A3"/>
    <w:pPr>
      <w:ind w:left="720"/>
      <w:contextualSpacing/>
    </w:pPr>
  </w:style>
  <w:style w:type="paragraph" w:styleId="Header">
    <w:name w:val="header"/>
    <w:basedOn w:val="Normal"/>
    <w:link w:val="HeaderChar"/>
    <w:uiPriority w:val="99"/>
    <w:unhideWhenUsed/>
    <w:rsid w:val="00D01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62"/>
  </w:style>
  <w:style w:type="paragraph" w:styleId="Footer">
    <w:name w:val="footer"/>
    <w:basedOn w:val="Normal"/>
    <w:link w:val="FooterChar"/>
    <w:uiPriority w:val="99"/>
    <w:unhideWhenUsed/>
    <w:rsid w:val="00D01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62"/>
  </w:style>
  <w:style w:type="paragraph" w:styleId="BalloonText">
    <w:name w:val="Balloon Text"/>
    <w:basedOn w:val="Normal"/>
    <w:link w:val="BalloonTextChar"/>
    <w:uiPriority w:val="99"/>
    <w:semiHidden/>
    <w:unhideWhenUsed/>
    <w:rsid w:val="00AB4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7A3"/>
    <w:pPr>
      <w:ind w:left="720"/>
      <w:contextualSpacing/>
    </w:pPr>
  </w:style>
  <w:style w:type="paragraph" w:styleId="Header">
    <w:name w:val="header"/>
    <w:basedOn w:val="Normal"/>
    <w:link w:val="HeaderChar"/>
    <w:uiPriority w:val="99"/>
    <w:unhideWhenUsed/>
    <w:rsid w:val="00D01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62"/>
  </w:style>
  <w:style w:type="paragraph" w:styleId="Footer">
    <w:name w:val="footer"/>
    <w:basedOn w:val="Normal"/>
    <w:link w:val="FooterChar"/>
    <w:uiPriority w:val="99"/>
    <w:unhideWhenUsed/>
    <w:rsid w:val="00D01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062"/>
  </w:style>
  <w:style w:type="paragraph" w:styleId="BalloonText">
    <w:name w:val="Balloon Text"/>
    <w:basedOn w:val="Normal"/>
    <w:link w:val="BalloonTextChar"/>
    <w:uiPriority w:val="99"/>
    <w:semiHidden/>
    <w:unhideWhenUsed/>
    <w:rsid w:val="00AB4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1D82-BF09-455F-B377-1D793D75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 Sibaot</dc:creator>
  <cp:lastModifiedBy>Annie - FAO</cp:lastModifiedBy>
  <cp:revision>2</cp:revision>
  <cp:lastPrinted>2020-01-24T09:35:00Z</cp:lastPrinted>
  <dcterms:created xsi:type="dcterms:W3CDTF">2020-02-05T12:15:00Z</dcterms:created>
  <dcterms:modified xsi:type="dcterms:W3CDTF">2020-02-05T12:15:00Z</dcterms:modified>
</cp:coreProperties>
</file>